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3" w:type="dxa"/>
        <w:tblLook w:val="04A0" w:firstRow="1" w:lastRow="0" w:firstColumn="1" w:lastColumn="0" w:noHBand="0" w:noVBand="1"/>
      </w:tblPr>
      <w:tblGrid>
        <w:gridCol w:w="2008"/>
        <w:gridCol w:w="8335"/>
      </w:tblGrid>
      <w:tr w:rsidR="00E74330" w:rsidRPr="00E74330" w14:paraId="4C6DBD68" w14:textId="77777777" w:rsidTr="00E74330">
        <w:trPr>
          <w:trHeight w:val="1266"/>
        </w:trPr>
        <w:tc>
          <w:tcPr>
            <w:tcW w:w="2008"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72F59214" w14:textId="77777777" w:rsidR="00E74330" w:rsidRPr="00E74330" w:rsidRDefault="00E74330" w:rsidP="00E74330">
            <w:pPr>
              <w:rPr>
                <w:rFonts w:ascii="Calibri" w:eastAsia="Times New Roman" w:hAnsi="Calibri" w:cs="Calibri"/>
                <w:b/>
                <w:bCs/>
                <w:color w:val="000000"/>
                <w:sz w:val="40"/>
                <w:szCs w:val="40"/>
                <w:lang w:eastAsia="en-GB"/>
              </w:rPr>
            </w:pPr>
            <w:r w:rsidRPr="00E74330">
              <w:rPr>
                <w:rFonts w:ascii="Calibri" w:eastAsia="Times New Roman" w:hAnsi="Calibri" w:cs="Calibri"/>
                <w:b/>
                <w:bCs/>
                <w:color w:val="000000"/>
                <w:sz w:val="40"/>
                <w:szCs w:val="40"/>
                <w:lang w:eastAsia="en-GB"/>
              </w:rPr>
              <w:t>Domain</w:t>
            </w:r>
          </w:p>
        </w:tc>
        <w:tc>
          <w:tcPr>
            <w:tcW w:w="8335" w:type="dxa"/>
            <w:tcBorders>
              <w:top w:val="single" w:sz="4" w:space="0" w:color="auto"/>
              <w:left w:val="nil"/>
              <w:bottom w:val="single" w:sz="4" w:space="0" w:color="auto"/>
              <w:right w:val="single" w:sz="4" w:space="0" w:color="auto"/>
            </w:tcBorders>
            <w:shd w:val="clear" w:color="000000" w:fill="F8CBAD"/>
            <w:vAlign w:val="center"/>
            <w:hideMark/>
          </w:tcPr>
          <w:p w14:paraId="51F20319" w14:textId="77777777" w:rsidR="00E74330" w:rsidRPr="00E74330" w:rsidRDefault="00E74330" w:rsidP="00E74330">
            <w:pPr>
              <w:rPr>
                <w:rFonts w:ascii="Calibri" w:eastAsia="Times New Roman" w:hAnsi="Calibri" w:cs="Calibri"/>
                <w:color w:val="000000"/>
                <w:sz w:val="40"/>
                <w:szCs w:val="40"/>
                <w:lang w:eastAsia="en-GB"/>
              </w:rPr>
            </w:pPr>
            <w:r w:rsidRPr="00E74330">
              <w:rPr>
                <w:rFonts w:ascii="Calibri" w:eastAsia="Times New Roman" w:hAnsi="Calibri" w:cs="Calibri"/>
                <w:color w:val="000000"/>
                <w:sz w:val="40"/>
                <w:szCs w:val="40"/>
                <w:lang w:eastAsia="en-GB"/>
              </w:rPr>
              <w:t>Objection</w:t>
            </w:r>
          </w:p>
        </w:tc>
      </w:tr>
      <w:tr w:rsidR="00E74330" w:rsidRPr="00E74330" w14:paraId="66EE6FB5" w14:textId="77777777" w:rsidTr="00E74330">
        <w:trPr>
          <w:trHeight w:val="2546"/>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29082B21" w14:textId="77777777" w:rsidR="00E74330" w:rsidRPr="00E74330" w:rsidRDefault="00E74330" w:rsidP="00E74330">
            <w:pPr>
              <w:rPr>
                <w:rFonts w:ascii="Calibri" w:eastAsia="Times New Roman" w:hAnsi="Calibri" w:cs="Calibri"/>
                <w:b/>
                <w:bCs/>
                <w:color w:val="000000"/>
                <w:lang w:eastAsia="en-GB"/>
              </w:rPr>
            </w:pPr>
            <w:r w:rsidRPr="00E74330">
              <w:rPr>
                <w:rFonts w:ascii="Calibri" w:eastAsia="Times New Roman" w:hAnsi="Calibri" w:cs="Calibri"/>
                <w:b/>
                <w:bCs/>
                <w:color w:val="000000"/>
                <w:lang w:eastAsia="en-GB"/>
              </w:rPr>
              <w:t>DEVELOPABLE AREA</w:t>
            </w:r>
          </w:p>
        </w:tc>
        <w:tc>
          <w:tcPr>
            <w:tcW w:w="8335" w:type="dxa"/>
            <w:tcBorders>
              <w:top w:val="nil"/>
              <w:left w:val="nil"/>
              <w:bottom w:val="single" w:sz="4" w:space="0" w:color="auto"/>
              <w:right w:val="single" w:sz="4" w:space="0" w:color="auto"/>
            </w:tcBorders>
            <w:shd w:val="clear" w:color="auto" w:fill="auto"/>
            <w:vAlign w:val="center"/>
            <w:hideMark/>
          </w:tcPr>
          <w:p w14:paraId="396B5D7E" w14:textId="55396D9C" w:rsidR="00E74330" w:rsidRPr="00E74330" w:rsidRDefault="00E74330" w:rsidP="00E74330">
            <w:pPr>
              <w:spacing w:after="240"/>
              <w:rPr>
                <w:rFonts w:ascii="Calibri" w:eastAsia="Times New Roman" w:hAnsi="Calibri" w:cs="Calibri"/>
                <w:color w:val="000000"/>
                <w:sz w:val="20"/>
                <w:szCs w:val="20"/>
                <w:lang w:eastAsia="en-GB"/>
              </w:rPr>
            </w:pPr>
            <w:r w:rsidRPr="00E74330">
              <w:rPr>
                <w:rFonts w:ascii="Calibri" w:eastAsia="Times New Roman" w:hAnsi="Calibri" w:cs="Calibri"/>
                <w:color w:val="000000"/>
                <w:sz w:val="20"/>
                <w:szCs w:val="20"/>
                <w:lang w:eastAsia="en-GB"/>
              </w:rPr>
              <w:t xml:space="preserve">The applicant </w:t>
            </w:r>
            <w:r w:rsidRPr="00E74330">
              <w:rPr>
                <w:rFonts w:ascii="Calibri" w:eastAsia="Times New Roman" w:hAnsi="Calibri" w:cs="Calibri"/>
                <w:color w:val="000000"/>
                <w:sz w:val="20"/>
                <w:szCs w:val="20"/>
                <w:lang w:eastAsia="en-GB"/>
              </w:rPr>
              <w:t>states that</w:t>
            </w:r>
            <w:r w:rsidRPr="00E74330">
              <w:rPr>
                <w:rFonts w:ascii="Calibri" w:eastAsia="Times New Roman" w:hAnsi="Calibri" w:cs="Calibri"/>
                <w:color w:val="000000"/>
                <w:sz w:val="20"/>
                <w:szCs w:val="20"/>
                <w:lang w:eastAsia="en-GB"/>
              </w:rPr>
              <w:t xml:space="preserve"> the area available for housing development is 6.67ha. This is incorrect. The Site Capacity Analysis addendum 2018 states that the area available is 6.54ha. </w:t>
            </w:r>
            <w:proofErr w:type="gramStart"/>
            <w:r w:rsidRPr="00E74330">
              <w:rPr>
                <w:rFonts w:ascii="Calibri" w:eastAsia="Times New Roman" w:hAnsi="Calibri" w:cs="Calibri"/>
                <w:color w:val="000000"/>
                <w:sz w:val="20"/>
                <w:szCs w:val="20"/>
                <w:lang w:eastAsia="en-GB"/>
              </w:rPr>
              <w:t>BUT,</w:t>
            </w:r>
            <w:proofErr w:type="gramEnd"/>
            <w:r w:rsidRPr="00E74330">
              <w:rPr>
                <w:rFonts w:ascii="Calibri" w:eastAsia="Times New Roman" w:hAnsi="Calibri" w:cs="Calibri"/>
                <w:color w:val="000000"/>
                <w:sz w:val="20"/>
                <w:szCs w:val="20"/>
                <w:lang w:eastAsia="en-GB"/>
              </w:rPr>
              <w:t xml:space="preserve"> the Field Nursery (0.92ha) did not come forward, thereby reducing the available land to 5.62ha.  This gives a net </w:t>
            </w:r>
            <w:proofErr w:type="spellStart"/>
            <w:r w:rsidRPr="00E74330">
              <w:rPr>
                <w:rFonts w:ascii="Calibri" w:eastAsia="Times New Roman" w:hAnsi="Calibri" w:cs="Calibri"/>
                <w:color w:val="000000"/>
                <w:sz w:val="20"/>
                <w:szCs w:val="20"/>
                <w:lang w:eastAsia="en-GB"/>
              </w:rPr>
              <w:t>dph</w:t>
            </w:r>
            <w:proofErr w:type="spellEnd"/>
            <w:r w:rsidRPr="00E74330">
              <w:rPr>
                <w:rFonts w:ascii="Calibri" w:eastAsia="Times New Roman" w:hAnsi="Calibri" w:cs="Calibri"/>
                <w:color w:val="000000"/>
                <w:sz w:val="20"/>
                <w:szCs w:val="20"/>
                <w:lang w:eastAsia="en-GB"/>
              </w:rPr>
              <w:t xml:space="preserve"> of 37 which is higher than nearby Brox End Nursery which was already high at 36dph. The Site Capacity Analysis showed 3 acceptable scenarios and we feel that the lowest of these 3 is the most appropriate for the village since it is bordering greenbelt and away from the village centre. “The appropriate density will result from context” (Runnymede SPD Para 66p19). Although the NPPF encourages efficient use of land, paragraph 124 (d) also applies which states that development must maintain an area’s prevailing character and setting. </w:t>
            </w:r>
          </w:p>
        </w:tc>
      </w:tr>
      <w:tr w:rsidR="00E74330" w:rsidRPr="00E74330" w14:paraId="41AC1218" w14:textId="77777777" w:rsidTr="00E74330">
        <w:trPr>
          <w:trHeight w:val="1972"/>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644050C9" w14:textId="77777777" w:rsidR="00E74330" w:rsidRPr="00E74330" w:rsidRDefault="00E74330" w:rsidP="00E74330">
            <w:pPr>
              <w:rPr>
                <w:rFonts w:ascii="Calibri" w:eastAsia="Times New Roman" w:hAnsi="Calibri" w:cs="Calibri"/>
                <w:b/>
                <w:bCs/>
                <w:color w:val="000000"/>
                <w:lang w:eastAsia="en-GB"/>
              </w:rPr>
            </w:pPr>
            <w:r w:rsidRPr="00E74330">
              <w:rPr>
                <w:rFonts w:ascii="Calibri" w:eastAsia="Times New Roman" w:hAnsi="Calibri" w:cs="Calibri"/>
                <w:b/>
                <w:bCs/>
                <w:color w:val="000000"/>
                <w:lang w:eastAsia="en-GB"/>
              </w:rPr>
              <w:t>DENSITY</w:t>
            </w:r>
          </w:p>
        </w:tc>
        <w:tc>
          <w:tcPr>
            <w:tcW w:w="8335" w:type="dxa"/>
            <w:tcBorders>
              <w:top w:val="nil"/>
              <w:left w:val="nil"/>
              <w:bottom w:val="single" w:sz="4" w:space="0" w:color="auto"/>
              <w:right w:val="single" w:sz="4" w:space="0" w:color="auto"/>
            </w:tcBorders>
            <w:shd w:val="clear" w:color="auto" w:fill="auto"/>
            <w:vAlign w:val="center"/>
            <w:hideMark/>
          </w:tcPr>
          <w:p w14:paraId="12682DA7" w14:textId="77777777" w:rsidR="00E74330" w:rsidRPr="00E74330" w:rsidRDefault="00E74330" w:rsidP="00E74330">
            <w:pPr>
              <w:rPr>
                <w:rFonts w:ascii="Calibri" w:eastAsia="Times New Roman" w:hAnsi="Calibri" w:cs="Calibri"/>
                <w:color w:val="000000"/>
                <w:sz w:val="20"/>
                <w:szCs w:val="20"/>
                <w:lang w:eastAsia="en-GB"/>
              </w:rPr>
            </w:pPr>
            <w:r w:rsidRPr="00E74330">
              <w:rPr>
                <w:rFonts w:ascii="Calibri" w:eastAsia="Times New Roman" w:hAnsi="Calibri" w:cs="Calibri"/>
                <w:color w:val="000000"/>
                <w:sz w:val="20"/>
                <w:szCs w:val="20"/>
                <w:lang w:eastAsia="en-GB"/>
              </w:rPr>
              <w:t>The Final capacity Analysis addendum 2017 which set the expected number of dwellings per hectare (</w:t>
            </w:r>
            <w:proofErr w:type="spellStart"/>
            <w:r w:rsidRPr="00E74330">
              <w:rPr>
                <w:rFonts w:ascii="Calibri" w:eastAsia="Times New Roman" w:hAnsi="Calibri" w:cs="Calibri"/>
                <w:color w:val="000000"/>
                <w:sz w:val="20"/>
                <w:szCs w:val="20"/>
                <w:lang w:eastAsia="en-GB"/>
              </w:rPr>
              <w:t>dph</w:t>
            </w:r>
            <w:proofErr w:type="spellEnd"/>
            <w:r w:rsidRPr="00E74330">
              <w:rPr>
                <w:rFonts w:ascii="Calibri" w:eastAsia="Times New Roman" w:hAnsi="Calibri" w:cs="Calibri"/>
                <w:color w:val="000000"/>
                <w:sz w:val="20"/>
                <w:szCs w:val="20"/>
                <w:lang w:eastAsia="en-GB"/>
              </w:rPr>
              <w:t>) for the site, did not account for the many existing properties that are very close to the site edge. This should have led to some bordering land being regarded as undevelopable due to severe proximity issues (135A Brox Road is only 2M from the boundary). The current design does not take this into account leading to hugely increased immediate densities bordering the site. Current densities are 11-26dph but the design leads to pockets of densities at some bordering properties of greater than 40dph.</w:t>
            </w:r>
          </w:p>
        </w:tc>
      </w:tr>
      <w:tr w:rsidR="00E74330" w:rsidRPr="00E74330" w14:paraId="62D1207C" w14:textId="77777777" w:rsidTr="00E74330">
        <w:trPr>
          <w:trHeight w:val="1405"/>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013F05EE" w14:textId="77777777" w:rsidR="00E74330" w:rsidRPr="00E74330" w:rsidRDefault="00E74330" w:rsidP="00E74330">
            <w:pPr>
              <w:rPr>
                <w:rFonts w:ascii="Calibri" w:eastAsia="Times New Roman" w:hAnsi="Calibri" w:cs="Calibri"/>
                <w:b/>
                <w:bCs/>
                <w:color w:val="000000"/>
                <w:lang w:eastAsia="en-GB"/>
              </w:rPr>
            </w:pPr>
            <w:r w:rsidRPr="00E74330">
              <w:rPr>
                <w:rFonts w:ascii="Calibri" w:eastAsia="Times New Roman" w:hAnsi="Calibri" w:cs="Calibri"/>
                <w:b/>
                <w:bCs/>
                <w:color w:val="000000"/>
                <w:lang w:eastAsia="en-GB"/>
              </w:rPr>
              <w:t>DENSITY</w:t>
            </w:r>
          </w:p>
        </w:tc>
        <w:tc>
          <w:tcPr>
            <w:tcW w:w="8335" w:type="dxa"/>
            <w:tcBorders>
              <w:top w:val="nil"/>
              <w:left w:val="nil"/>
              <w:bottom w:val="single" w:sz="4" w:space="0" w:color="auto"/>
              <w:right w:val="single" w:sz="4" w:space="0" w:color="auto"/>
            </w:tcBorders>
            <w:shd w:val="clear" w:color="auto" w:fill="auto"/>
            <w:vAlign w:val="center"/>
            <w:hideMark/>
          </w:tcPr>
          <w:p w14:paraId="69D31B74" w14:textId="77777777" w:rsidR="00E74330" w:rsidRPr="00E74330" w:rsidRDefault="00E74330" w:rsidP="00E74330">
            <w:pPr>
              <w:rPr>
                <w:rFonts w:ascii="Calibri" w:eastAsia="Times New Roman" w:hAnsi="Calibri" w:cs="Calibri"/>
                <w:color w:val="000000"/>
                <w:sz w:val="20"/>
                <w:szCs w:val="20"/>
                <w:lang w:eastAsia="en-GB"/>
              </w:rPr>
            </w:pPr>
            <w:r w:rsidRPr="00E74330">
              <w:rPr>
                <w:rFonts w:ascii="Calibri" w:eastAsia="Times New Roman" w:hAnsi="Calibri" w:cs="Calibri"/>
                <w:color w:val="000000"/>
                <w:sz w:val="20"/>
                <w:szCs w:val="20"/>
                <w:lang w:eastAsia="en-GB"/>
              </w:rPr>
              <w:t xml:space="preserve">Density of the site is also increased by the number of habitable rooms per hectare. Ottershaw is fully provisioned with </w:t>
            </w:r>
            <w:proofErr w:type="gramStart"/>
            <w:r w:rsidRPr="00E74330">
              <w:rPr>
                <w:rFonts w:ascii="Calibri" w:eastAsia="Times New Roman" w:hAnsi="Calibri" w:cs="Calibri"/>
                <w:color w:val="000000"/>
                <w:sz w:val="20"/>
                <w:szCs w:val="20"/>
                <w:lang w:eastAsia="en-GB"/>
              </w:rPr>
              <w:t>4 and 5 bedroom</w:t>
            </w:r>
            <w:proofErr w:type="gramEnd"/>
            <w:r w:rsidRPr="00E74330">
              <w:rPr>
                <w:rFonts w:ascii="Calibri" w:eastAsia="Times New Roman" w:hAnsi="Calibri" w:cs="Calibri"/>
                <w:color w:val="000000"/>
                <w:sz w:val="20"/>
                <w:szCs w:val="20"/>
                <w:lang w:eastAsia="en-GB"/>
              </w:rPr>
              <w:t xml:space="preserve"> houses and the scheme includes too many larger properties. The applicant has underprovided 1&amp;2 bed homes and over provided 3+ beds. This serves to increase the built footprint and density for the same number of dwellings</w:t>
            </w:r>
          </w:p>
        </w:tc>
      </w:tr>
      <w:tr w:rsidR="00E74330" w:rsidRPr="00E74330" w14:paraId="005ABDF9" w14:textId="77777777" w:rsidTr="00E74330">
        <w:trPr>
          <w:trHeight w:val="2248"/>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0BD81735" w14:textId="77777777" w:rsidR="00E74330" w:rsidRPr="00E74330" w:rsidRDefault="00E74330" w:rsidP="00E74330">
            <w:pPr>
              <w:rPr>
                <w:rFonts w:ascii="Calibri" w:eastAsia="Times New Roman" w:hAnsi="Calibri" w:cs="Calibri"/>
                <w:b/>
                <w:bCs/>
                <w:color w:val="000000"/>
                <w:lang w:eastAsia="en-GB"/>
              </w:rPr>
            </w:pPr>
            <w:r w:rsidRPr="00E74330">
              <w:rPr>
                <w:rFonts w:ascii="Calibri" w:eastAsia="Times New Roman" w:hAnsi="Calibri" w:cs="Calibri"/>
                <w:b/>
                <w:bCs/>
                <w:color w:val="000000"/>
                <w:lang w:eastAsia="en-GB"/>
              </w:rPr>
              <w:t>DENSITY</w:t>
            </w:r>
          </w:p>
        </w:tc>
        <w:tc>
          <w:tcPr>
            <w:tcW w:w="8335" w:type="dxa"/>
            <w:tcBorders>
              <w:top w:val="nil"/>
              <w:left w:val="nil"/>
              <w:bottom w:val="single" w:sz="4" w:space="0" w:color="auto"/>
              <w:right w:val="single" w:sz="4" w:space="0" w:color="auto"/>
            </w:tcBorders>
            <w:shd w:val="clear" w:color="auto" w:fill="auto"/>
            <w:vAlign w:val="center"/>
            <w:hideMark/>
          </w:tcPr>
          <w:p w14:paraId="7BFEFDC7" w14:textId="2C40AAB6" w:rsidR="00E74330" w:rsidRPr="00E74330" w:rsidRDefault="00E74330" w:rsidP="00E74330">
            <w:pPr>
              <w:rPr>
                <w:rFonts w:ascii="Calibri" w:eastAsia="Times New Roman" w:hAnsi="Calibri" w:cs="Calibri"/>
                <w:color w:val="000000"/>
                <w:sz w:val="20"/>
                <w:szCs w:val="20"/>
                <w:lang w:eastAsia="en-GB"/>
              </w:rPr>
            </w:pPr>
            <w:r w:rsidRPr="00E74330">
              <w:rPr>
                <w:rFonts w:ascii="Calibri" w:eastAsia="Times New Roman" w:hAnsi="Calibri" w:cs="Calibri"/>
                <w:color w:val="000000"/>
                <w:sz w:val="20"/>
                <w:szCs w:val="20"/>
                <w:lang w:eastAsia="en-GB"/>
              </w:rPr>
              <w:t>Very high density in pockets of the scheme especially at the site entrance and along the border with existing properties including several large parking courts, does not align with the village character and is more in keeping with 21</w:t>
            </w:r>
            <w:r w:rsidRPr="00E74330">
              <w:rPr>
                <w:rFonts w:ascii="Calibri" w:eastAsia="Times New Roman" w:hAnsi="Calibri" w:cs="Calibri"/>
                <w:color w:val="000000"/>
                <w:sz w:val="20"/>
                <w:szCs w:val="20"/>
                <w:vertAlign w:val="superscript"/>
                <w:lang w:eastAsia="en-GB"/>
              </w:rPr>
              <w:t>st</w:t>
            </w:r>
            <w:r w:rsidRPr="00E74330">
              <w:rPr>
                <w:rFonts w:ascii="Calibri" w:eastAsia="Times New Roman" w:hAnsi="Calibri" w:cs="Calibri"/>
                <w:color w:val="000000"/>
                <w:sz w:val="20"/>
                <w:szCs w:val="20"/>
                <w:lang w:eastAsia="en-GB"/>
              </w:rPr>
              <w:t xml:space="preserve"> Century Urban in towns such as Addlestone. “The appropriate density will result from context” (Runnymede SPD Para 66p19). Clearly, context has not been taken into consideration around the site boundary. The planning committee must account for the area’s prevailing character as per NPPF guidance. It should blend in with existing properties and feather into increasing densities towards the centre of the scheme</w:t>
            </w:r>
            <w:r>
              <w:rPr>
                <w:rFonts w:ascii="Calibri" w:eastAsia="Times New Roman" w:hAnsi="Calibri" w:cs="Calibri"/>
                <w:color w:val="000000"/>
                <w:sz w:val="20"/>
                <w:szCs w:val="20"/>
                <w:lang w:eastAsia="en-GB"/>
              </w:rPr>
              <w:t xml:space="preserve"> or along the main avenue</w:t>
            </w:r>
            <w:r w:rsidRPr="00E74330">
              <w:rPr>
                <w:rFonts w:ascii="Calibri" w:eastAsia="Times New Roman" w:hAnsi="Calibri" w:cs="Calibri"/>
                <w:color w:val="000000"/>
                <w:sz w:val="20"/>
                <w:szCs w:val="20"/>
                <w:lang w:eastAsia="en-GB"/>
              </w:rPr>
              <w:t>. The applicant’s design results in a jarring transition from old to new</w:t>
            </w:r>
          </w:p>
        </w:tc>
      </w:tr>
      <w:tr w:rsidR="00E74330" w:rsidRPr="00E74330" w14:paraId="24F18229" w14:textId="77777777" w:rsidTr="00E74330">
        <w:trPr>
          <w:trHeight w:val="3160"/>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3436A48B" w14:textId="77777777" w:rsidR="00E74330" w:rsidRPr="00E74330" w:rsidRDefault="00E74330" w:rsidP="00E74330">
            <w:pPr>
              <w:rPr>
                <w:rFonts w:ascii="Calibri" w:eastAsia="Times New Roman" w:hAnsi="Calibri" w:cs="Calibri"/>
                <w:b/>
                <w:bCs/>
                <w:color w:val="000000"/>
                <w:lang w:eastAsia="en-GB"/>
              </w:rPr>
            </w:pPr>
            <w:r w:rsidRPr="00E74330">
              <w:rPr>
                <w:rFonts w:ascii="Calibri" w:eastAsia="Times New Roman" w:hAnsi="Calibri" w:cs="Calibri"/>
                <w:b/>
                <w:bCs/>
                <w:color w:val="000000"/>
                <w:lang w:eastAsia="en-GB"/>
              </w:rPr>
              <w:t>DENSITY</w:t>
            </w:r>
          </w:p>
        </w:tc>
        <w:tc>
          <w:tcPr>
            <w:tcW w:w="8335" w:type="dxa"/>
            <w:tcBorders>
              <w:top w:val="nil"/>
              <w:left w:val="nil"/>
              <w:bottom w:val="single" w:sz="4" w:space="0" w:color="auto"/>
              <w:right w:val="single" w:sz="4" w:space="0" w:color="auto"/>
            </w:tcBorders>
            <w:shd w:val="clear" w:color="auto" w:fill="auto"/>
            <w:vAlign w:val="center"/>
            <w:hideMark/>
          </w:tcPr>
          <w:p w14:paraId="2F532CFC" w14:textId="00A26E64" w:rsidR="00E74330" w:rsidRPr="00E74330" w:rsidRDefault="00E74330" w:rsidP="00E74330">
            <w:pPr>
              <w:rPr>
                <w:rFonts w:ascii="Calibri" w:eastAsia="Times New Roman" w:hAnsi="Calibri" w:cs="Calibri"/>
                <w:color w:val="000000"/>
                <w:sz w:val="20"/>
                <w:szCs w:val="20"/>
                <w:lang w:eastAsia="en-GB"/>
              </w:rPr>
            </w:pPr>
            <w:r w:rsidRPr="00E74330">
              <w:rPr>
                <w:rFonts w:ascii="Calibri" w:eastAsia="Times New Roman" w:hAnsi="Calibri" w:cs="Calibri"/>
                <w:color w:val="000000"/>
                <w:sz w:val="20"/>
                <w:szCs w:val="20"/>
                <w:lang w:eastAsia="en-GB"/>
              </w:rPr>
              <w:t xml:space="preserve">Most of the increased density is around the edge of the site against bordering properties. It is noticeable that parking courts are mostly along the edge against existing properties and not within the main site.  Apartment blocks and terraced housing also appears adjacent or backing onto existing properties. </w:t>
            </w:r>
            <w:r w:rsidRPr="00E74330">
              <w:rPr>
                <w:rFonts w:ascii="Calibri" w:eastAsia="Times New Roman" w:hAnsi="Calibri" w:cs="Calibri"/>
                <w:color w:val="000000"/>
                <w:sz w:val="20"/>
                <w:szCs w:val="20"/>
                <w:lang w:eastAsia="en-GB"/>
              </w:rPr>
              <w:t>However,</w:t>
            </w:r>
            <w:r w:rsidRPr="00E74330">
              <w:rPr>
                <w:rFonts w:ascii="Calibri" w:eastAsia="Times New Roman" w:hAnsi="Calibri" w:cs="Calibri"/>
                <w:color w:val="000000"/>
                <w:sz w:val="20"/>
                <w:szCs w:val="20"/>
                <w:lang w:eastAsia="en-GB"/>
              </w:rPr>
              <w:t xml:space="preserve"> in the main site, separation distances are better. Detached houses appear with other detached houses and </w:t>
            </w:r>
            <w:r w:rsidRPr="00E74330">
              <w:rPr>
                <w:rFonts w:ascii="Calibri" w:eastAsia="Times New Roman" w:hAnsi="Calibri" w:cs="Calibri"/>
                <w:color w:val="000000"/>
                <w:sz w:val="20"/>
                <w:szCs w:val="20"/>
                <w:lang w:eastAsia="en-GB"/>
              </w:rPr>
              <w:t>semi-detached</w:t>
            </w:r>
            <w:r w:rsidRPr="00E74330">
              <w:rPr>
                <w:rFonts w:ascii="Calibri" w:eastAsia="Times New Roman" w:hAnsi="Calibri" w:cs="Calibri"/>
                <w:color w:val="000000"/>
                <w:sz w:val="20"/>
                <w:szCs w:val="20"/>
                <w:lang w:eastAsia="en-GB"/>
              </w:rPr>
              <w:t xml:space="preserve"> houses appear with other semi-detached houses.  This is highly inequitable. Within the development care is taken to place similar </w:t>
            </w:r>
            <w:r w:rsidRPr="00E74330">
              <w:rPr>
                <w:rFonts w:ascii="Calibri" w:eastAsia="Times New Roman" w:hAnsi="Calibri" w:cs="Calibri"/>
                <w:color w:val="000000"/>
                <w:sz w:val="20"/>
                <w:szCs w:val="20"/>
                <w:lang w:eastAsia="en-GB"/>
              </w:rPr>
              <w:t>properties together</w:t>
            </w:r>
            <w:r w:rsidRPr="00E74330">
              <w:rPr>
                <w:rFonts w:ascii="Calibri" w:eastAsia="Times New Roman" w:hAnsi="Calibri" w:cs="Calibri"/>
                <w:color w:val="000000"/>
                <w:sz w:val="20"/>
                <w:szCs w:val="20"/>
                <w:lang w:eastAsia="en-GB"/>
              </w:rPr>
              <w:t xml:space="preserve"> however against existing properties, high density buildings are placed out of context with the existing built form.  This does not comply with the National Design Guide, Runnymede design SPD or Surrey Council design guide. The new housing does not integrate well into existing settlement. The denser housing should be placed along the main road in the development to align with plot rhythm and context with other denser building such as the apartment blocks</w:t>
            </w:r>
          </w:p>
        </w:tc>
      </w:tr>
      <w:tr w:rsidR="00E74330" w:rsidRPr="00E74330" w14:paraId="60EA73AD" w14:textId="77777777" w:rsidTr="00E74330">
        <w:trPr>
          <w:trHeight w:val="1266"/>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601B24BA" w14:textId="77777777" w:rsidR="00E74330" w:rsidRPr="00E74330" w:rsidRDefault="00E74330" w:rsidP="00E74330">
            <w:pPr>
              <w:rPr>
                <w:rFonts w:ascii="Calibri" w:eastAsia="Times New Roman" w:hAnsi="Calibri" w:cs="Calibri"/>
                <w:b/>
                <w:bCs/>
                <w:color w:val="000000"/>
                <w:lang w:eastAsia="en-GB"/>
              </w:rPr>
            </w:pPr>
            <w:r w:rsidRPr="00E74330">
              <w:rPr>
                <w:rFonts w:ascii="Calibri" w:eastAsia="Times New Roman" w:hAnsi="Calibri" w:cs="Calibri"/>
                <w:b/>
                <w:bCs/>
                <w:color w:val="000000"/>
                <w:lang w:eastAsia="en-GB"/>
              </w:rPr>
              <w:t>DENSITY</w:t>
            </w:r>
          </w:p>
        </w:tc>
        <w:tc>
          <w:tcPr>
            <w:tcW w:w="8335" w:type="dxa"/>
            <w:tcBorders>
              <w:top w:val="nil"/>
              <w:left w:val="nil"/>
              <w:bottom w:val="single" w:sz="4" w:space="0" w:color="auto"/>
              <w:right w:val="single" w:sz="4" w:space="0" w:color="auto"/>
            </w:tcBorders>
            <w:shd w:val="clear" w:color="auto" w:fill="auto"/>
            <w:vAlign w:val="center"/>
            <w:hideMark/>
          </w:tcPr>
          <w:p w14:paraId="0C5CD881" w14:textId="77777777" w:rsidR="00E74330" w:rsidRPr="00E74330" w:rsidRDefault="00E74330" w:rsidP="00E74330">
            <w:pPr>
              <w:rPr>
                <w:rFonts w:ascii="Calibri" w:eastAsia="Times New Roman" w:hAnsi="Calibri" w:cs="Calibri"/>
                <w:color w:val="000000"/>
                <w:sz w:val="20"/>
                <w:szCs w:val="20"/>
                <w:lang w:eastAsia="en-GB"/>
              </w:rPr>
            </w:pPr>
            <w:r w:rsidRPr="00E74330">
              <w:rPr>
                <w:rFonts w:ascii="Calibri" w:eastAsia="Times New Roman" w:hAnsi="Calibri" w:cs="Calibri"/>
                <w:color w:val="000000"/>
                <w:sz w:val="20"/>
                <w:szCs w:val="20"/>
                <w:lang w:eastAsia="en-GB"/>
              </w:rPr>
              <w:t>With the density per hectare proposed, the design policies require a high-quality design. The proposal does not achieve this being generic, and just like the multiple high-volume schemes across the country which have attracted criticism leading to housing policy on design being reviewed by central government</w:t>
            </w:r>
          </w:p>
        </w:tc>
      </w:tr>
      <w:tr w:rsidR="00E74330" w:rsidRPr="00E74330" w14:paraId="1D59C309" w14:textId="77777777" w:rsidTr="00E74330">
        <w:trPr>
          <w:trHeight w:val="2825"/>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1D649123" w14:textId="77777777" w:rsidR="00E74330" w:rsidRPr="00E74330" w:rsidRDefault="00E74330" w:rsidP="00E74330">
            <w:pPr>
              <w:rPr>
                <w:rFonts w:ascii="Calibri" w:eastAsia="Times New Roman" w:hAnsi="Calibri" w:cs="Calibri"/>
                <w:b/>
                <w:bCs/>
                <w:color w:val="000000"/>
                <w:lang w:eastAsia="en-GB"/>
              </w:rPr>
            </w:pPr>
            <w:r w:rsidRPr="00E74330">
              <w:rPr>
                <w:rFonts w:ascii="Calibri" w:eastAsia="Times New Roman" w:hAnsi="Calibri" w:cs="Calibri"/>
                <w:b/>
                <w:bCs/>
                <w:color w:val="000000"/>
                <w:lang w:eastAsia="en-GB"/>
              </w:rPr>
              <w:lastRenderedPageBreak/>
              <w:t>DENSITY</w:t>
            </w:r>
          </w:p>
        </w:tc>
        <w:tc>
          <w:tcPr>
            <w:tcW w:w="8335" w:type="dxa"/>
            <w:tcBorders>
              <w:top w:val="nil"/>
              <w:left w:val="nil"/>
              <w:bottom w:val="single" w:sz="4" w:space="0" w:color="auto"/>
              <w:right w:val="single" w:sz="4" w:space="0" w:color="auto"/>
            </w:tcBorders>
            <w:shd w:val="clear" w:color="auto" w:fill="auto"/>
            <w:vAlign w:val="center"/>
            <w:hideMark/>
          </w:tcPr>
          <w:p w14:paraId="3620A4A9" w14:textId="77777777" w:rsidR="00E74330" w:rsidRPr="00E74330" w:rsidRDefault="00E74330" w:rsidP="00E74330">
            <w:pPr>
              <w:rPr>
                <w:rFonts w:ascii="Calibri" w:eastAsia="Times New Roman" w:hAnsi="Calibri" w:cs="Calibri"/>
                <w:color w:val="000000"/>
                <w:sz w:val="20"/>
                <w:szCs w:val="20"/>
                <w:lang w:eastAsia="en-GB"/>
              </w:rPr>
            </w:pPr>
            <w:r w:rsidRPr="00E74330">
              <w:rPr>
                <w:rFonts w:ascii="Calibri" w:eastAsia="Times New Roman" w:hAnsi="Calibri" w:cs="Calibri"/>
                <w:color w:val="000000"/>
                <w:sz w:val="20"/>
                <w:szCs w:val="20"/>
                <w:lang w:eastAsia="en-GB"/>
              </w:rPr>
              <w:t xml:space="preserve">The density and design of this proposal is unable to satisfy the requirements of Runnymede policies and be in keeping with context, vernacular, and local needs. The design standards in current policies must be considered the pre-eminent consideration over the need to satisfy the allocated density numbers produced by an outdated Local Plan. The numbers of dwellings should be reduced to around 170 to enable the higher quality design standards required in 2022. Site capacity numbers on Ottershaw East produced over 5 years ago must be revised </w:t>
            </w:r>
            <w:proofErr w:type="gramStart"/>
            <w:r w:rsidRPr="00E74330">
              <w:rPr>
                <w:rFonts w:ascii="Calibri" w:eastAsia="Times New Roman" w:hAnsi="Calibri" w:cs="Calibri"/>
                <w:color w:val="000000"/>
                <w:sz w:val="20"/>
                <w:szCs w:val="20"/>
                <w:lang w:eastAsia="en-GB"/>
              </w:rPr>
              <w:t>in light of</w:t>
            </w:r>
            <w:proofErr w:type="gramEnd"/>
            <w:r w:rsidRPr="00E74330">
              <w:rPr>
                <w:rFonts w:ascii="Calibri" w:eastAsia="Times New Roman" w:hAnsi="Calibri" w:cs="Calibri"/>
                <w:color w:val="000000"/>
                <w:sz w:val="20"/>
                <w:szCs w:val="20"/>
                <w:lang w:eastAsia="en-GB"/>
              </w:rPr>
              <w:t xml:space="preserve"> the more detailed analysis of the site now available and the increased design standards. The numbers of larger 4/5 bed dwellings should be reduced in favour of smaller 3 bed homes and level access 2-bedroom homes which would address the local need for our older residents which is currently unmet. This would both satisfy the out-of-date suggested </w:t>
            </w:r>
            <w:proofErr w:type="spellStart"/>
            <w:r w:rsidRPr="00E74330">
              <w:rPr>
                <w:rFonts w:ascii="Calibri" w:eastAsia="Times New Roman" w:hAnsi="Calibri" w:cs="Calibri"/>
                <w:color w:val="000000"/>
                <w:sz w:val="20"/>
                <w:szCs w:val="20"/>
                <w:lang w:eastAsia="en-GB"/>
              </w:rPr>
              <w:t>dph</w:t>
            </w:r>
            <w:proofErr w:type="spellEnd"/>
            <w:r w:rsidRPr="00E74330">
              <w:rPr>
                <w:rFonts w:ascii="Calibri" w:eastAsia="Times New Roman" w:hAnsi="Calibri" w:cs="Calibri"/>
                <w:color w:val="000000"/>
                <w:sz w:val="20"/>
                <w:szCs w:val="20"/>
                <w:lang w:eastAsia="en-GB"/>
              </w:rPr>
              <w:t xml:space="preserve"> and reduce the overall concrete footprint and allow for a greener scheme in keeping with the local context. </w:t>
            </w:r>
          </w:p>
        </w:tc>
      </w:tr>
      <w:tr w:rsidR="00E74330" w:rsidRPr="00E74330" w14:paraId="6B8066A3" w14:textId="77777777" w:rsidTr="00E74330">
        <w:trPr>
          <w:trHeight w:val="2128"/>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179BE95E" w14:textId="77777777" w:rsidR="00E74330" w:rsidRPr="00E74330" w:rsidRDefault="00E74330" w:rsidP="00E74330">
            <w:pPr>
              <w:rPr>
                <w:rFonts w:ascii="Calibri" w:eastAsia="Times New Roman" w:hAnsi="Calibri" w:cs="Calibri"/>
                <w:b/>
                <w:bCs/>
                <w:color w:val="000000"/>
                <w:sz w:val="20"/>
                <w:szCs w:val="20"/>
                <w:lang w:eastAsia="en-GB"/>
              </w:rPr>
            </w:pPr>
            <w:r w:rsidRPr="00E74330">
              <w:rPr>
                <w:rFonts w:ascii="Calibri" w:eastAsia="Times New Roman" w:hAnsi="Calibri" w:cs="Calibri"/>
                <w:b/>
                <w:bCs/>
                <w:color w:val="000000"/>
                <w:sz w:val="20"/>
                <w:szCs w:val="20"/>
                <w:lang w:eastAsia="en-GB"/>
              </w:rPr>
              <w:t>POOR RELATIONSIPS FOR EXISTING PROPERTIES</w:t>
            </w:r>
          </w:p>
        </w:tc>
        <w:tc>
          <w:tcPr>
            <w:tcW w:w="8335" w:type="dxa"/>
            <w:tcBorders>
              <w:top w:val="nil"/>
              <w:left w:val="nil"/>
              <w:bottom w:val="single" w:sz="4" w:space="0" w:color="auto"/>
              <w:right w:val="single" w:sz="4" w:space="0" w:color="auto"/>
            </w:tcBorders>
            <w:shd w:val="clear" w:color="auto" w:fill="auto"/>
            <w:vAlign w:val="center"/>
            <w:hideMark/>
          </w:tcPr>
          <w:p w14:paraId="53547E5C" w14:textId="72C7808C" w:rsidR="00E74330" w:rsidRPr="00E74330" w:rsidRDefault="00E74330" w:rsidP="00E74330">
            <w:pPr>
              <w:rPr>
                <w:rFonts w:ascii="Calibri" w:eastAsia="Times New Roman" w:hAnsi="Calibri" w:cs="Calibri"/>
                <w:color w:val="000000"/>
                <w:sz w:val="40"/>
                <w:szCs w:val="40"/>
                <w:lang w:eastAsia="en-GB"/>
              </w:rPr>
            </w:pPr>
            <w:r w:rsidRPr="00E74330">
              <w:rPr>
                <w:rFonts w:ascii="Calibri" w:eastAsia="Times New Roman" w:hAnsi="Calibri" w:cs="Calibri"/>
                <w:color w:val="000000"/>
                <w:lang w:eastAsia="en-GB"/>
              </w:rPr>
              <w:t xml:space="preserve">"The fronts of buildings should relate to other fronts across streets or other areas of public realm, while the backs should relate to other backs to make a more private zone” </w:t>
            </w:r>
            <w:r w:rsidRPr="00E74330">
              <w:rPr>
                <w:rFonts w:ascii="Calibri" w:eastAsia="Times New Roman" w:hAnsi="Calibri" w:cs="Calibri"/>
                <w:color w:val="000000"/>
                <w:lang w:eastAsia="en-GB"/>
              </w:rPr>
              <w:br/>
            </w:r>
            <w:r w:rsidRPr="00E74330">
              <w:rPr>
                <w:rFonts w:ascii="Calibri" w:eastAsia="Times New Roman" w:hAnsi="Calibri" w:cs="Calibri"/>
                <w:color w:val="000000"/>
                <w:sz w:val="20"/>
                <w:szCs w:val="20"/>
                <w:lang w:eastAsia="en-GB"/>
              </w:rPr>
              <w:t xml:space="preserve">The proposal has several parking courts backing onto the rear of existing </w:t>
            </w:r>
            <w:r w:rsidRPr="00E74330">
              <w:rPr>
                <w:rFonts w:ascii="Calibri" w:eastAsia="Times New Roman" w:hAnsi="Calibri" w:cs="Calibri"/>
                <w:color w:val="000000"/>
                <w:sz w:val="20"/>
                <w:szCs w:val="20"/>
                <w:lang w:eastAsia="en-GB"/>
              </w:rPr>
              <w:t>residents’</w:t>
            </w:r>
            <w:r w:rsidRPr="00E74330">
              <w:rPr>
                <w:rFonts w:ascii="Calibri" w:eastAsia="Times New Roman" w:hAnsi="Calibri" w:cs="Calibri"/>
                <w:color w:val="000000"/>
                <w:sz w:val="20"/>
                <w:szCs w:val="20"/>
                <w:lang w:eastAsia="en-GB"/>
              </w:rPr>
              <w:t xml:space="preserve"> homes. This has implications on noise, overlooking, and security.</w:t>
            </w:r>
            <w:r w:rsidRPr="00E74330">
              <w:rPr>
                <w:rFonts w:ascii="Calibri" w:eastAsia="Times New Roman" w:hAnsi="Calibri" w:cs="Calibri"/>
                <w:color w:val="000000"/>
                <w:sz w:val="40"/>
                <w:szCs w:val="40"/>
                <w:lang w:eastAsia="en-GB"/>
              </w:rPr>
              <w:t xml:space="preserve"> </w:t>
            </w:r>
            <w:r w:rsidRPr="00E74330">
              <w:rPr>
                <w:rFonts w:ascii="Calibri" w:eastAsia="Times New Roman" w:hAnsi="Calibri" w:cs="Calibri"/>
                <w:color w:val="000000"/>
                <w:sz w:val="20"/>
                <w:szCs w:val="20"/>
                <w:lang w:eastAsia="en-GB"/>
              </w:rPr>
              <w:t>It is notable that this is rarely the case within the main site. This is inequitable in that bordering properties are treated more adversely than those proposed within the main site</w:t>
            </w:r>
          </w:p>
        </w:tc>
      </w:tr>
      <w:tr w:rsidR="00E74330" w:rsidRPr="00E74330" w14:paraId="34B88AAF" w14:textId="77777777" w:rsidTr="00E74330">
        <w:trPr>
          <w:trHeight w:val="2116"/>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37EE658A" w14:textId="77777777" w:rsidR="00E74330" w:rsidRPr="00E74330" w:rsidRDefault="00E74330" w:rsidP="00E74330">
            <w:pPr>
              <w:rPr>
                <w:rFonts w:ascii="Calibri" w:eastAsia="Times New Roman" w:hAnsi="Calibri" w:cs="Calibri"/>
                <w:b/>
                <w:bCs/>
                <w:color w:val="000000"/>
                <w:lang w:eastAsia="en-GB"/>
              </w:rPr>
            </w:pPr>
            <w:r w:rsidRPr="00E74330">
              <w:rPr>
                <w:rFonts w:ascii="Calibri" w:eastAsia="Times New Roman" w:hAnsi="Calibri" w:cs="Calibri"/>
                <w:b/>
                <w:bCs/>
                <w:color w:val="000000"/>
                <w:lang w:eastAsia="en-GB"/>
              </w:rPr>
              <w:t>INFRASTRUCTURE</w:t>
            </w:r>
          </w:p>
        </w:tc>
        <w:tc>
          <w:tcPr>
            <w:tcW w:w="8335" w:type="dxa"/>
            <w:tcBorders>
              <w:top w:val="nil"/>
              <w:left w:val="nil"/>
              <w:bottom w:val="single" w:sz="4" w:space="0" w:color="auto"/>
              <w:right w:val="single" w:sz="4" w:space="0" w:color="auto"/>
            </w:tcBorders>
            <w:shd w:val="clear" w:color="auto" w:fill="auto"/>
            <w:vAlign w:val="center"/>
            <w:hideMark/>
          </w:tcPr>
          <w:p w14:paraId="4FBA2F61" w14:textId="1C5CA188" w:rsidR="00E74330" w:rsidRPr="00E74330" w:rsidRDefault="00E74330" w:rsidP="00E74330">
            <w:pPr>
              <w:rPr>
                <w:rFonts w:ascii="Calibri" w:eastAsia="Times New Roman" w:hAnsi="Calibri" w:cs="Calibri"/>
                <w:color w:val="000000"/>
                <w:sz w:val="20"/>
                <w:szCs w:val="20"/>
                <w:lang w:eastAsia="en-GB"/>
              </w:rPr>
            </w:pPr>
            <w:r w:rsidRPr="00E74330">
              <w:rPr>
                <w:rFonts w:ascii="Calibri" w:eastAsia="Times New Roman" w:hAnsi="Calibri" w:cs="Calibri"/>
                <w:color w:val="000000"/>
                <w:sz w:val="20"/>
                <w:szCs w:val="20"/>
                <w:lang w:eastAsia="en-GB"/>
              </w:rPr>
              <w:t xml:space="preserve">The foul drainage is insufficient to meet the numbers of housing intended. Upgrading will cause major upheaval for the village. The proposed new roundabout will not ease local traffic flow as there will be no road widening between the roundabout and </w:t>
            </w:r>
            <w:proofErr w:type="spellStart"/>
            <w:r w:rsidRPr="00E74330">
              <w:rPr>
                <w:rFonts w:ascii="Calibri" w:eastAsia="Times New Roman" w:hAnsi="Calibri" w:cs="Calibri"/>
                <w:color w:val="000000"/>
                <w:sz w:val="20"/>
                <w:szCs w:val="20"/>
                <w:lang w:eastAsia="en-GB"/>
              </w:rPr>
              <w:t>McClarens</w:t>
            </w:r>
            <w:proofErr w:type="spellEnd"/>
            <w:r w:rsidRPr="00E74330">
              <w:rPr>
                <w:rFonts w:ascii="Calibri" w:eastAsia="Times New Roman" w:hAnsi="Calibri" w:cs="Calibri"/>
                <w:color w:val="000000"/>
                <w:sz w:val="20"/>
                <w:szCs w:val="20"/>
                <w:lang w:eastAsia="en-GB"/>
              </w:rPr>
              <w:t xml:space="preserve">. </w:t>
            </w:r>
            <w:r w:rsidRPr="00E74330">
              <w:rPr>
                <w:rFonts w:ascii="Calibri" w:eastAsia="Times New Roman" w:hAnsi="Calibri" w:cs="Calibri"/>
                <w:color w:val="000000"/>
                <w:sz w:val="20"/>
                <w:szCs w:val="20"/>
                <w:lang w:eastAsia="en-GB"/>
              </w:rPr>
              <w:t>Therefore,</w:t>
            </w:r>
            <w:r w:rsidRPr="00E74330">
              <w:rPr>
                <w:rFonts w:ascii="Calibri" w:eastAsia="Times New Roman" w:hAnsi="Calibri" w:cs="Calibri"/>
                <w:color w:val="000000"/>
                <w:sz w:val="20"/>
                <w:szCs w:val="20"/>
                <w:lang w:eastAsia="en-GB"/>
              </w:rPr>
              <w:t xml:space="preserve"> the increase in traffic produced by this and several other new estates will be intolerable. Brox Road is a residential road with multiple parked cars on either side of the street often reducing flow down to a single lane especially with school events. This competes with a Haulage firm and a bus route. Double yellow lines will not be possible as many homes on Brox Road rely on street parking. Any increase in pressure on this road </w:t>
            </w:r>
            <w:r>
              <w:rPr>
                <w:rFonts w:ascii="Calibri" w:eastAsia="Times New Roman" w:hAnsi="Calibri" w:cs="Calibri"/>
                <w:color w:val="000000"/>
                <w:sz w:val="20"/>
                <w:szCs w:val="20"/>
                <w:lang w:eastAsia="en-GB"/>
              </w:rPr>
              <w:t xml:space="preserve">by </w:t>
            </w:r>
            <w:r w:rsidR="00FF2201">
              <w:rPr>
                <w:rFonts w:ascii="Calibri" w:eastAsia="Times New Roman" w:hAnsi="Calibri" w:cs="Calibri"/>
                <w:color w:val="000000"/>
                <w:sz w:val="20"/>
                <w:szCs w:val="20"/>
                <w:lang w:eastAsia="en-GB"/>
              </w:rPr>
              <w:t xml:space="preserve">through traffic </w:t>
            </w:r>
            <w:r>
              <w:rPr>
                <w:rFonts w:ascii="Calibri" w:eastAsia="Times New Roman" w:hAnsi="Calibri" w:cs="Calibri"/>
                <w:color w:val="000000"/>
                <w:sz w:val="20"/>
                <w:szCs w:val="20"/>
                <w:lang w:eastAsia="en-GB"/>
              </w:rPr>
              <w:t>i</w:t>
            </w:r>
            <w:r w:rsidRPr="00E74330">
              <w:rPr>
                <w:rFonts w:ascii="Calibri" w:eastAsia="Times New Roman" w:hAnsi="Calibri" w:cs="Calibri"/>
                <w:color w:val="000000"/>
                <w:sz w:val="20"/>
                <w:szCs w:val="20"/>
                <w:lang w:eastAsia="en-GB"/>
              </w:rPr>
              <w:t>s not sustainable.</w:t>
            </w:r>
          </w:p>
        </w:tc>
      </w:tr>
      <w:tr w:rsidR="00E74330" w:rsidRPr="00E74330" w14:paraId="477D51C0" w14:textId="77777777" w:rsidTr="00E74330">
        <w:trPr>
          <w:trHeight w:val="3800"/>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26AD2B60" w14:textId="77777777" w:rsidR="00E74330" w:rsidRPr="00E74330" w:rsidRDefault="00E74330" w:rsidP="00E74330">
            <w:pPr>
              <w:rPr>
                <w:rFonts w:ascii="Calibri" w:eastAsia="Times New Roman" w:hAnsi="Calibri" w:cs="Calibri"/>
                <w:b/>
                <w:bCs/>
                <w:color w:val="000000"/>
                <w:lang w:eastAsia="en-GB"/>
              </w:rPr>
            </w:pPr>
            <w:r w:rsidRPr="00E74330">
              <w:rPr>
                <w:rFonts w:ascii="Calibri" w:eastAsia="Times New Roman" w:hAnsi="Calibri" w:cs="Calibri"/>
                <w:b/>
                <w:bCs/>
                <w:color w:val="000000"/>
                <w:lang w:eastAsia="en-GB"/>
              </w:rPr>
              <w:t>INFRASTRUCTURE</w:t>
            </w:r>
          </w:p>
        </w:tc>
        <w:tc>
          <w:tcPr>
            <w:tcW w:w="8335" w:type="dxa"/>
            <w:tcBorders>
              <w:top w:val="nil"/>
              <w:left w:val="nil"/>
              <w:bottom w:val="single" w:sz="4" w:space="0" w:color="auto"/>
              <w:right w:val="single" w:sz="4" w:space="0" w:color="auto"/>
            </w:tcBorders>
            <w:shd w:val="clear" w:color="auto" w:fill="auto"/>
            <w:vAlign w:val="center"/>
            <w:hideMark/>
          </w:tcPr>
          <w:p w14:paraId="5C65C682" w14:textId="77777777" w:rsidR="00E74330" w:rsidRPr="00E74330" w:rsidRDefault="00E74330" w:rsidP="00E74330">
            <w:pPr>
              <w:rPr>
                <w:rFonts w:ascii="Calibri" w:eastAsia="Times New Roman" w:hAnsi="Calibri" w:cs="Calibri"/>
                <w:color w:val="000000"/>
                <w:sz w:val="20"/>
                <w:szCs w:val="20"/>
                <w:lang w:eastAsia="en-GB"/>
              </w:rPr>
            </w:pPr>
            <w:r w:rsidRPr="00E74330">
              <w:rPr>
                <w:rFonts w:ascii="Calibri" w:eastAsia="Times New Roman" w:hAnsi="Calibri" w:cs="Calibri"/>
                <w:color w:val="000000"/>
                <w:sz w:val="20"/>
                <w:szCs w:val="20"/>
                <w:lang w:eastAsia="en-GB"/>
              </w:rPr>
              <w:t xml:space="preserve">Ottershaw village is poorly served by public transport and infrastructure being a dormitory village dependant on car use.  The transport Assessment Scoping Report carried out by HUB stated that the location of the site was not considered sustainable with infrequent bus provision and poorly connected cycle and pedestrian links. The report states that infrastructure is poor. With the recently approved site for 46 houses in Brox End Nursery, the density of the proposed development is unsustainable. The Transport Assessment report found that the residential aspect of the Proposed Scheme is estimated to generate a maximum of 128 two-way trips in any peak period. This equates to just over two additional vehicles on the network every minute. Regarding the GP surgery, the Transport Assessment found that a maximum of 53 two-way trips would be generated in any peak period. This equates to almost one additional vehicle movement on the network every minute. These are significant additions to already ‘poor infrastructure’. Parts of the development are not easy walking distance to shops and so car use will increase to link to rail services in Woking, Chertsey and Addlestone. The NPPF states that all housing development must be sustainable and reflect the infrastructure capacity of an area </w:t>
            </w:r>
          </w:p>
        </w:tc>
      </w:tr>
      <w:tr w:rsidR="00E74330" w:rsidRPr="00E74330" w14:paraId="31753AAD" w14:textId="77777777" w:rsidTr="00E74330">
        <w:trPr>
          <w:trHeight w:val="1564"/>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2DB61B80" w14:textId="77777777" w:rsidR="00E74330" w:rsidRPr="00E74330" w:rsidRDefault="00E74330" w:rsidP="00E74330">
            <w:pPr>
              <w:rPr>
                <w:rFonts w:ascii="Calibri" w:eastAsia="Times New Roman" w:hAnsi="Calibri" w:cs="Calibri"/>
                <w:b/>
                <w:bCs/>
                <w:color w:val="000000"/>
                <w:lang w:eastAsia="en-GB"/>
              </w:rPr>
            </w:pPr>
            <w:r w:rsidRPr="00E74330">
              <w:rPr>
                <w:rFonts w:ascii="Calibri" w:eastAsia="Times New Roman" w:hAnsi="Calibri" w:cs="Calibri"/>
                <w:b/>
                <w:bCs/>
                <w:color w:val="000000"/>
                <w:lang w:eastAsia="en-GB"/>
              </w:rPr>
              <w:t>ACCESS</w:t>
            </w:r>
          </w:p>
        </w:tc>
        <w:tc>
          <w:tcPr>
            <w:tcW w:w="8335" w:type="dxa"/>
            <w:tcBorders>
              <w:top w:val="nil"/>
              <w:left w:val="nil"/>
              <w:bottom w:val="single" w:sz="4" w:space="0" w:color="auto"/>
              <w:right w:val="single" w:sz="4" w:space="0" w:color="auto"/>
            </w:tcBorders>
            <w:shd w:val="clear" w:color="auto" w:fill="auto"/>
            <w:vAlign w:val="center"/>
            <w:hideMark/>
          </w:tcPr>
          <w:p w14:paraId="3E49D4CB" w14:textId="12263D0C" w:rsidR="00E74330" w:rsidRPr="00E74330" w:rsidRDefault="00E74330" w:rsidP="00E74330">
            <w:pPr>
              <w:rPr>
                <w:rFonts w:ascii="Calibri" w:eastAsia="Times New Roman" w:hAnsi="Calibri" w:cs="Calibri"/>
                <w:color w:val="000000"/>
                <w:sz w:val="20"/>
                <w:szCs w:val="20"/>
                <w:lang w:eastAsia="en-GB"/>
              </w:rPr>
            </w:pPr>
            <w:r w:rsidRPr="00E74330">
              <w:rPr>
                <w:rFonts w:ascii="Calibri" w:eastAsia="Times New Roman" w:hAnsi="Calibri" w:cs="Calibri"/>
                <w:color w:val="000000"/>
                <w:sz w:val="20"/>
                <w:szCs w:val="20"/>
                <w:lang w:eastAsia="en-GB"/>
              </w:rPr>
              <w:t>The access, manoeuvrability, and obstruction to traffic flow that a waste disposal truck would cause have not been considered with regards to the width and layout of the roads within the site. The response of waste management to th</w:t>
            </w:r>
            <w:r w:rsidR="00FF2201">
              <w:rPr>
                <w:rFonts w:ascii="Calibri" w:eastAsia="Times New Roman" w:hAnsi="Calibri" w:cs="Calibri"/>
                <w:color w:val="000000"/>
                <w:sz w:val="20"/>
                <w:szCs w:val="20"/>
                <w:lang w:eastAsia="en-GB"/>
              </w:rPr>
              <w:t>is</w:t>
            </w:r>
            <w:r w:rsidRPr="00E74330">
              <w:rPr>
                <w:rFonts w:ascii="Calibri" w:eastAsia="Times New Roman" w:hAnsi="Calibri" w:cs="Calibri"/>
                <w:color w:val="000000"/>
                <w:sz w:val="20"/>
                <w:szCs w:val="20"/>
                <w:lang w:eastAsia="en-GB"/>
              </w:rPr>
              <w:t xml:space="preserve"> application confirms there are issues</w:t>
            </w:r>
            <w:r w:rsidR="00FF2201">
              <w:rPr>
                <w:rFonts w:ascii="Calibri" w:eastAsia="Times New Roman" w:hAnsi="Calibri" w:cs="Calibri"/>
                <w:color w:val="000000"/>
                <w:sz w:val="20"/>
                <w:szCs w:val="20"/>
                <w:lang w:eastAsia="en-GB"/>
              </w:rPr>
              <w:t xml:space="preserve"> due to density</w:t>
            </w:r>
            <w:r w:rsidRPr="00E74330">
              <w:rPr>
                <w:rFonts w:ascii="Calibri" w:eastAsia="Times New Roman" w:hAnsi="Calibri" w:cs="Calibri"/>
                <w:color w:val="000000"/>
                <w:sz w:val="20"/>
                <w:szCs w:val="20"/>
                <w:lang w:eastAsia="en-GB"/>
              </w:rPr>
              <w:t xml:space="preserve">. There is only one access/exit point to the site so there is a possibility of a site gridlock at peak times, particularly around the site entrance as 3 roads converge at a densely built area </w:t>
            </w:r>
          </w:p>
        </w:tc>
      </w:tr>
      <w:tr w:rsidR="00E74330" w:rsidRPr="00E74330" w14:paraId="0D448355" w14:textId="77777777" w:rsidTr="00E74330">
        <w:trPr>
          <w:trHeight w:val="1691"/>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7958CAE6" w14:textId="77777777" w:rsidR="00E74330" w:rsidRPr="00E74330" w:rsidRDefault="00E74330" w:rsidP="00E74330">
            <w:pPr>
              <w:rPr>
                <w:rFonts w:ascii="Calibri" w:eastAsia="Times New Roman" w:hAnsi="Calibri" w:cs="Calibri"/>
                <w:b/>
                <w:bCs/>
                <w:color w:val="000000"/>
                <w:lang w:eastAsia="en-GB"/>
              </w:rPr>
            </w:pPr>
            <w:r w:rsidRPr="00E74330">
              <w:rPr>
                <w:rFonts w:ascii="Calibri" w:eastAsia="Times New Roman" w:hAnsi="Calibri" w:cs="Calibri"/>
                <w:b/>
                <w:bCs/>
                <w:color w:val="000000"/>
                <w:lang w:eastAsia="en-GB"/>
              </w:rPr>
              <w:t>ACCESS</w:t>
            </w:r>
          </w:p>
        </w:tc>
        <w:tc>
          <w:tcPr>
            <w:tcW w:w="8335" w:type="dxa"/>
            <w:tcBorders>
              <w:top w:val="nil"/>
              <w:left w:val="nil"/>
              <w:bottom w:val="single" w:sz="4" w:space="0" w:color="auto"/>
              <w:right w:val="single" w:sz="4" w:space="0" w:color="auto"/>
            </w:tcBorders>
            <w:shd w:val="clear" w:color="auto" w:fill="auto"/>
            <w:vAlign w:val="center"/>
            <w:hideMark/>
          </w:tcPr>
          <w:p w14:paraId="5E6CC167" w14:textId="77777777" w:rsidR="00E74330" w:rsidRPr="00E74330" w:rsidRDefault="00E74330" w:rsidP="00E74330">
            <w:pPr>
              <w:rPr>
                <w:rFonts w:ascii="Calibri" w:eastAsia="Times New Roman" w:hAnsi="Calibri" w:cs="Calibri"/>
                <w:color w:val="000000"/>
                <w:sz w:val="20"/>
                <w:szCs w:val="20"/>
                <w:lang w:eastAsia="en-GB"/>
              </w:rPr>
            </w:pPr>
            <w:r w:rsidRPr="00E74330">
              <w:rPr>
                <w:rFonts w:ascii="Calibri" w:eastAsia="Times New Roman" w:hAnsi="Calibri" w:cs="Calibri"/>
                <w:color w:val="000000"/>
                <w:sz w:val="20"/>
                <w:szCs w:val="20"/>
                <w:lang w:eastAsia="en-GB"/>
              </w:rPr>
              <w:t xml:space="preserve">The access to the traveller pitches for large touring caravans passes through a tight Gateway with apartment blocks on either side and likely overspill parking on the roadside due to the density of building and the GP surgery, and then onto a secondary road. At 4.8M wide shared space with pedestrians, the secondary road leading to the traveller pitches is not adequate for vehicles up to 2.5M wide with the inevitable street parking which will occur. </w:t>
            </w:r>
          </w:p>
        </w:tc>
      </w:tr>
      <w:tr w:rsidR="00E74330" w:rsidRPr="00E74330" w14:paraId="6876598F" w14:textId="77777777" w:rsidTr="00E74330">
        <w:trPr>
          <w:trHeight w:val="1300"/>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186F1179" w14:textId="77777777" w:rsidR="00E74330" w:rsidRPr="00E74330" w:rsidRDefault="00E74330" w:rsidP="00E74330">
            <w:pPr>
              <w:rPr>
                <w:rFonts w:ascii="Calibri" w:eastAsia="Times New Roman" w:hAnsi="Calibri" w:cs="Calibri"/>
                <w:b/>
                <w:bCs/>
                <w:color w:val="000000"/>
                <w:sz w:val="20"/>
                <w:szCs w:val="20"/>
                <w:lang w:eastAsia="en-GB"/>
              </w:rPr>
            </w:pPr>
            <w:r w:rsidRPr="00E74330">
              <w:rPr>
                <w:rFonts w:ascii="Calibri" w:eastAsia="Times New Roman" w:hAnsi="Calibri" w:cs="Calibri"/>
                <w:b/>
                <w:bCs/>
                <w:color w:val="000000"/>
                <w:sz w:val="20"/>
                <w:szCs w:val="20"/>
                <w:lang w:eastAsia="en-GB"/>
              </w:rPr>
              <w:lastRenderedPageBreak/>
              <w:t>DESIGNING OUT CRIME</w:t>
            </w:r>
          </w:p>
        </w:tc>
        <w:tc>
          <w:tcPr>
            <w:tcW w:w="8335" w:type="dxa"/>
            <w:tcBorders>
              <w:top w:val="nil"/>
              <w:left w:val="nil"/>
              <w:bottom w:val="single" w:sz="4" w:space="0" w:color="auto"/>
              <w:right w:val="single" w:sz="4" w:space="0" w:color="auto"/>
            </w:tcBorders>
            <w:shd w:val="clear" w:color="auto" w:fill="auto"/>
            <w:vAlign w:val="center"/>
            <w:hideMark/>
          </w:tcPr>
          <w:p w14:paraId="77FE0E45" w14:textId="3DD3277D" w:rsidR="00E74330" w:rsidRPr="00E74330" w:rsidRDefault="00E74330" w:rsidP="00E74330">
            <w:pPr>
              <w:rPr>
                <w:rFonts w:ascii="Calibri" w:eastAsia="Times New Roman" w:hAnsi="Calibri" w:cs="Calibri"/>
                <w:color w:val="000000"/>
                <w:sz w:val="20"/>
                <w:szCs w:val="20"/>
                <w:lang w:eastAsia="en-GB"/>
              </w:rPr>
            </w:pPr>
            <w:r w:rsidRPr="00E74330">
              <w:rPr>
                <w:rFonts w:ascii="Calibri" w:eastAsia="Times New Roman" w:hAnsi="Calibri" w:cs="Calibri"/>
                <w:color w:val="000000"/>
                <w:sz w:val="20"/>
                <w:szCs w:val="20"/>
                <w:lang w:eastAsia="en-GB"/>
              </w:rPr>
              <w:t xml:space="preserve">Research studying the distribution of burglary has shown that up to 85% of entries occur at the back of a home. Parking courts providing open access at the rear of existing properties </w:t>
            </w:r>
            <w:r w:rsidR="00FF2201">
              <w:rPr>
                <w:rFonts w:ascii="Calibri" w:eastAsia="Times New Roman" w:hAnsi="Calibri" w:cs="Calibri"/>
                <w:color w:val="000000"/>
                <w:sz w:val="20"/>
                <w:szCs w:val="20"/>
                <w:lang w:eastAsia="en-GB"/>
              </w:rPr>
              <w:t xml:space="preserve">from the street </w:t>
            </w:r>
            <w:r w:rsidRPr="00E74330">
              <w:rPr>
                <w:rFonts w:ascii="Calibri" w:eastAsia="Times New Roman" w:hAnsi="Calibri" w:cs="Calibri"/>
                <w:color w:val="000000"/>
                <w:sz w:val="20"/>
                <w:szCs w:val="20"/>
                <w:lang w:eastAsia="en-GB"/>
              </w:rPr>
              <w:t xml:space="preserve">is not best practice.  </w:t>
            </w:r>
          </w:p>
        </w:tc>
      </w:tr>
      <w:tr w:rsidR="00E74330" w:rsidRPr="00E74330" w14:paraId="4E53E09F" w14:textId="77777777" w:rsidTr="00E74330">
        <w:trPr>
          <w:trHeight w:val="3094"/>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1F56C3C1" w14:textId="77777777" w:rsidR="00E74330" w:rsidRPr="00E74330" w:rsidRDefault="00E74330" w:rsidP="00E74330">
            <w:pPr>
              <w:rPr>
                <w:rFonts w:ascii="Calibri" w:eastAsia="Times New Roman" w:hAnsi="Calibri" w:cs="Calibri"/>
                <w:b/>
                <w:bCs/>
                <w:color w:val="000000"/>
                <w:sz w:val="20"/>
                <w:szCs w:val="20"/>
                <w:lang w:eastAsia="en-GB"/>
              </w:rPr>
            </w:pPr>
            <w:r w:rsidRPr="00E74330">
              <w:rPr>
                <w:rFonts w:ascii="Calibri" w:eastAsia="Times New Roman" w:hAnsi="Calibri" w:cs="Calibri"/>
                <w:b/>
                <w:bCs/>
                <w:color w:val="000000"/>
                <w:sz w:val="20"/>
                <w:szCs w:val="20"/>
                <w:lang w:eastAsia="en-GB"/>
              </w:rPr>
              <w:t>DESIGNING OUT CRIME</w:t>
            </w:r>
          </w:p>
        </w:tc>
        <w:tc>
          <w:tcPr>
            <w:tcW w:w="8335" w:type="dxa"/>
            <w:tcBorders>
              <w:top w:val="nil"/>
              <w:left w:val="nil"/>
              <w:bottom w:val="single" w:sz="4" w:space="0" w:color="auto"/>
              <w:right w:val="single" w:sz="4" w:space="0" w:color="auto"/>
            </w:tcBorders>
            <w:shd w:val="clear" w:color="auto" w:fill="auto"/>
            <w:vAlign w:val="center"/>
            <w:hideMark/>
          </w:tcPr>
          <w:p w14:paraId="5EA07FCE" w14:textId="77777777" w:rsidR="00E74330" w:rsidRPr="00E74330" w:rsidRDefault="00E74330" w:rsidP="00E74330">
            <w:pPr>
              <w:rPr>
                <w:rFonts w:ascii="Calibri" w:eastAsia="Times New Roman" w:hAnsi="Calibri" w:cs="Calibri"/>
                <w:color w:val="000000"/>
                <w:sz w:val="20"/>
                <w:szCs w:val="20"/>
                <w:lang w:eastAsia="en-GB"/>
              </w:rPr>
            </w:pPr>
            <w:r w:rsidRPr="00E74330">
              <w:rPr>
                <w:rFonts w:ascii="Calibri" w:eastAsia="Times New Roman" w:hAnsi="Calibri" w:cs="Calibri"/>
                <w:color w:val="000000"/>
                <w:sz w:val="20"/>
                <w:szCs w:val="20"/>
                <w:lang w:eastAsia="en-GB"/>
              </w:rPr>
              <w:t xml:space="preserve">Contrary to Runnymede design principles requiring a back-to-back arrangement, several existing bordering properties and new dwellings will have car parking courts directly behind the rear of their properties which are then open to public access creating security issues. 135A Brox Road has a 12-space parking court only 6M from its rear elevation. 149 and 151 Brox Road have an 11-bay parking court at the rear. 2B Southwood Avenue has an 11-space parking court to the rear. If the application is to deviate from a clear design principle as set out in the Runnymede’s policies, then mitigation must be implemented such as high screening hedges at appropriate distances to deter access from the rear, none of which are apparent in the scheme for those properties. Motion sensitive security lighting which is commonly fitted to residents’ buildings will lead to light nuisance for the residents whose properties back onto the parking courts. Further reason why parking courts should not back onto rear elevations. Adherence to the Secured by Design Homes 2019 document be incorporated as a planning condition if approved or the application should be refused. </w:t>
            </w:r>
          </w:p>
        </w:tc>
      </w:tr>
      <w:tr w:rsidR="00E74330" w:rsidRPr="00E74330" w14:paraId="66B35B5D" w14:textId="77777777" w:rsidTr="00E74330">
        <w:trPr>
          <w:trHeight w:val="1253"/>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02DD04FD" w14:textId="77777777" w:rsidR="00E74330" w:rsidRPr="00E74330" w:rsidRDefault="00E74330" w:rsidP="00E74330">
            <w:pPr>
              <w:rPr>
                <w:rFonts w:ascii="Calibri" w:eastAsia="Times New Roman" w:hAnsi="Calibri" w:cs="Calibri"/>
                <w:b/>
                <w:bCs/>
                <w:color w:val="000000"/>
                <w:lang w:eastAsia="en-GB"/>
              </w:rPr>
            </w:pPr>
            <w:r w:rsidRPr="00E74330">
              <w:rPr>
                <w:rFonts w:ascii="Calibri" w:eastAsia="Times New Roman" w:hAnsi="Calibri" w:cs="Calibri"/>
                <w:b/>
                <w:bCs/>
                <w:color w:val="000000"/>
                <w:lang w:eastAsia="en-GB"/>
              </w:rPr>
              <w:t>AMENITY SPACE</w:t>
            </w:r>
          </w:p>
        </w:tc>
        <w:tc>
          <w:tcPr>
            <w:tcW w:w="8335" w:type="dxa"/>
            <w:tcBorders>
              <w:top w:val="nil"/>
              <w:left w:val="nil"/>
              <w:bottom w:val="single" w:sz="4" w:space="0" w:color="auto"/>
              <w:right w:val="single" w:sz="4" w:space="0" w:color="auto"/>
            </w:tcBorders>
            <w:shd w:val="clear" w:color="auto" w:fill="auto"/>
            <w:vAlign w:val="center"/>
            <w:hideMark/>
          </w:tcPr>
          <w:p w14:paraId="74150D7D" w14:textId="4C8F8DE7" w:rsidR="00E74330" w:rsidRPr="00E74330" w:rsidRDefault="00E74330" w:rsidP="00E74330">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w:t>
            </w:r>
            <w:r w:rsidRPr="00E74330">
              <w:rPr>
                <w:rFonts w:ascii="Calibri" w:eastAsia="Times New Roman" w:hAnsi="Calibri" w:cs="Calibri"/>
                <w:color w:val="000000"/>
                <w:sz w:val="20"/>
                <w:szCs w:val="20"/>
                <w:lang w:eastAsia="en-GB"/>
              </w:rPr>
              <w:t>here is not enough provision for visitor parking. This will lead to inevitable street parking for trades vehicles which is of particular concern on the secondary road leading to the traveller pitches.</w:t>
            </w:r>
          </w:p>
        </w:tc>
      </w:tr>
      <w:tr w:rsidR="00E74330" w:rsidRPr="00E74330" w14:paraId="5971FCA8" w14:textId="77777777" w:rsidTr="00E74330">
        <w:trPr>
          <w:trHeight w:val="2900"/>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09C4DF5F" w14:textId="77777777" w:rsidR="00E74330" w:rsidRPr="00E74330" w:rsidRDefault="00E74330" w:rsidP="00E74330">
            <w:pPr>
              <w:rPr>
                <w:rFonts w:ascii="Calibri" w:eastAsia="Times New Roman" w:hAnsi="Calibri" w:cs="Calibri"/>
                <w:b/>
                <w:bCs/>
                <w:color w:val="000000"/>
                <w:sz w:val="20"/>
                <w:szCs w:val="20"/>
                <w:lang w:eastAsia="en-GB"/>
              </w:rPr>
            </w:pPr>
            <w:r w:rsidRPr="00E74330">
              <w:rPr>
                <w:rFonts w:ascii="Calibri" w:eastAsia="Times New Roman" w:hAnsi="Calibri" w:cs="Calibri"/>
                <w:b/>
                <w:bCs/>
                <w:color w:val="000000"/>
                <w:sz w:val="20"/>
                <w:szCs w:val="20"/>
                <w:lang w:eastAsia="en-GB"/>
              </w:rPr>
              <w:t>PRIVACY AND OVERLOOKING</w:t>
            </w:r>
            <w:r w:rsidRPr="00E74330">
              <w:rPr>
                <w:rFonts w:ascii="Calibri" w:eastAsia="Times New Roman" w:hAnsi="Calibri" w:cs="Calibri"/>
                <w:b/>
                <w:bCs/>
                <w:color w:val="000000"/>
                <w:sz w:val="20"/>
                <w:szCs w:val="20"/>
                <w:lang w:eastAsia="en-GB"/>
              </w:rPr>
              <w:br/>
              <w:t>Relation to existing buildings</w:t>
            </w:r>
          </w:p>
        </w:tc>
        <w:tc>
          <w:tcPr>
            <w:tcW w:w="8335" w:type="dxa"/>
            <w:tcBorders>
              <w:top w:val="nil"/>
              <w:left w:val="nil"/>
              <w:bottom w:val="single" w:sz="4" w:space="0" w:color="auto"/>
              <w:right w:val="single" w:sz="4" w:space="0" w:color="auto"/>
            </w:tcBorders>
            <w:shd w:val="clear" w:color="auto" w:fill="auto"/>
            <w:vAlign w:val="center"/>
            <w:hideMark/>
          </w:tcPr>
          <w:p w14:paraId="60B9F828" w14:textId="77777777" w:rsidR="00E74330" w:rsidRPr="00E74330" w:rsidRDefault="00E74330" w:rsidP="00E74330">
            <w:pPr>
              <w:rPr>
                <w:rFonts w:ascii="Calibri" w:eastAsia="Times New Roman" w:hAnsi="Calibri" w:cs="Calibri"/>
                <w:color w:val="000000"/>
                <w:sz w:val="20"/>
                <w:szCs w:val="20"/>
                <w:lang w:eastAsia="en-GB"/>
              </w:rPr>
            </w:pPr>
            <w:r w:rsidRPr="00E74330">
              <w:rPr>
                <w:rFonts w:ascii="Calibri" w:eastAsia="Times New Roman" w:hAnsi="Calibri" w:cs="Calibri"/>
                <w:color w:val="000000"/>
                <w:sz w:val="20"/>
                <w:szCs w:val="20"/>
                <w:lang w:eastAsia="en-GB"/>
              </w:rPr>
              <w:t>The Runnymede local plan states that any design must</w:t>
            </w:r>
            <w:r w:rsidRPr="00E74330">
              <w:rPr>
                <w:rFonts w:ascii="Calibri" w:eastAsia="Times New Roman" w:hAnsi="Calibri" w:cs="Calibri"/>
                <w:color w:val="000000"/>
                <w:sz w:val="20"/>
                <w:szCs w:val="20"/>
                <w:lang w:eastAsia="en-GB"/>
              </w:rPr>
              <w:br/>
            </w:r>
            <w:r w:rsidRPr="00E74330">
              <w:rPr>
                <w:rFonts w:ascii="Calibri" w:eastAsia="Times New Roman" w:hAnsi="Calibri" w:cs="Calibri"/>
                <w:color w:val="000000"/>
                <w:sz w:val="20"/>
                <w:szCs w:val="20"/>
                <w:lang w:eastAsia="en-GB"/>
              </w:rPr>
              <w:br/>
            </w:r>
            <w:r w:rsidRPr="00E74330">
              <w:rPr>
                <w:rFonts w:ascii="Calibri" w:eastAsia="Times New Roman" w:hAnsi="Calibri" w:cs="Calibri"/>
                <w:color w:val="000000"/>
                <w:lang w:eastAsia="en-GB"/>
              </w:rPr>
              <w:t xml:space="preserve">“Ensure no adverse impact on the amenities of occupiers of the development or to neighbouring property or uses and provide an appropriate standard of private amenity space.” </w:t>
            </w:r>
            <w:r w:rsidRPr="00E74330">
              <w:rPr>
                <w:rFonts w:ascii="Calibri" w:eastAsia="Times New Roman" w:hAnsi="Calibri" w:cs="Calibri"/>
                <w:color w:val="000000"/>
                <w:sz w:val="20"/>
                <w:szCs w:val="20"/>
                <w:lang w:eastAsia="en-GB"/>
              </w:rPr>
              <w:br/>
            </w:r>
            <w:r w:rsidRPr="00E74330">
              <w:rPr>
                <w:rFonts w:ascii="Calibri" w:eastAsia="Times New Roman" w:hAnsi="Calibri" w:cs="Calibri"/>
                <w:color w:val="000000"/>
                <w:sz w:val="20"/>
                <w:szCs w:val="20"/>
                <w:lang w:eastAsia="en-GB"/>
              </w:rPr>
              <w:br/>
              <w:t>Several bordering properties are adversely affected either by siting of parking courts at the rear or by placing buildings of large mass and bulk close to rear elevations causing overlooking and shadowing of habitable rooms</w:t>
            </w:r>
          </w:p>
        </w:tc>
      </w:tr>
      <w:tr w:rsidR="00E74330" w:rsidRPr="00E74330" w14:paraId="486186B6" w14:textId="77777777" w:rsidTr="00E74330">
        <w:trPr>
          <w:trHeight w:val="3100"/>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04F6A8FA" w14:textId="77777777" w:rsidR="00E74330" w:rsidRPr="00E74330" w:rsidRDefault="00E74330" w:rsidP="00E74330">
            <w:pPr>
              <w:rPr>
                <w:rFonts w:ascii="Calibri" w:eastAsia="Times New Roman" w:hAnsi="Calibri" w:cs="Calibri"/>
                <w:b/>
                <w:bCs/>
                <w:color w:val="000000"/>
                <w:sz w:val="20"/>
                <w:szCs w:val="20"/>
                <w:lang w:eastAsia="en-GB"/>
              </w:rPr>
            </w:pPr>
            <w:r w:rsidRPr="00E74330">
              <w:rPr>
                <w:rFonts w:ascii="Calibri" w:eastAsia="Times New Roman" w:hAnsi="Calibri" w:cs="Calibri"/>
                <w:b/>
                <w:bCs/>
                <w:color w:val="000000"/>
                <w:sz w:val="20"/>
                <w:szCs w:val="20"/>
                <w:lang w:eastAsia="en-GB"/>
              </w:rPr>
              <w:t>PARKING COURTS</w:t>
            </w:r>
          </w:p>
        </w:tc>
        <w:tc>
          <w:tcPr>
            <w:tcW w:w="8335" w:type="dxa"/>
            <w:tcBorders>
              <w:top w:val="nil"/>
              <w:left w:val="nil"/>
              <w:bottom w:val="single" w:sz="4" w:space="0" w:color="auto"/>
              <w:right w:val="single" w:sz="4" w:space="0" w:color="auto"/>
            </w:tcBorders>
            <w:shd w:val="clear" w:color="auto" w:fill="auto"/>
            <w:vAlign w:val="center"/>
            <w:hideMark/>
          </w:tcPr>
          <w:p w14:paraId="05BD4089" w14:textId="77777777" w:rsidR="00E74330" w:rsidRPr="00E74330" w:rsidRDefault="00E74330" w:rsidP="00E74330">
            <w:pPr>
              <w:rPr>
                <w:rFonts w:ascii="Calibri" w:eastAsia="Times New Roman" w:hAnsi="Calibri" w:cs="Calibri"/>
                <w:color w:val="000000"/>
                <w:sz w:val="20"/>
                <w:szCs w:val="20"/>
                <w:lang w:eastAsia="en-GB"/>
              </w:rPr>
            </w:pPr>
            <w:r w:rsidRPr="00E74330">
              <w:rPr>
                <w:rFonts w:ascii="Calibri" w:eastAsia="Times New Roman" w:hAnsi="Calibri" w:cs="Calibri"/>
                <w:color w:val="000000"/>
                <w:sz w:val="20"/>
                <w:szCs w:val="20"/>
                <w:lang w:eastAsia="en-GB"/>
              </w:rPr>
              <w:br/>
              <w:t>Surrey CC design policy states that parking courts in residential areas should be:</w:t>
            </w:r>
            <w:r w:rsidRPr="00E74330">
              <w:rPr>
                <w:rFonts w:ascii="Calibri" w:eastAsia="Times New Roman" w:hAnsi="Calibri" w:cs="Calibri"/>
                <w:color w:val="000000"/>
                <w:sz w:val="20"/>
                <w:szCs w:val="20"/>
                <w:lang w:eastAsia="en-GB"/>
              </w:rPr>
              <w:br/>
              <w:t>• Relatively small scale to avoid visual dominance and nuisance</w:t>
            </w:r>
            <w:r w:rsidRPr="00E74330">
              <w:rPr>
                <w:rFonts w:ascii="Calibri" w:eastAsia="Times New Roman" w:hAnsi="Calibri" w:cs="Calibri"/>
                <w:color w:val="000000"/>
                <w:sz w:val="20"/>
                <w:szCs w:val="20"/>
                <w:lang w:eastAsia="en-GB"/>
              </w:rPr>
              <w:br/>
              <w:t>• Maximise security through surveillance and/or gates within a street block</w:t>
            </w:r>
            <w:r w:rsidRPr="00E74330">
              <w:rPr>
                <w:rFonts w:ascii="Calibri" w:eastAsia="Times New Roman" w:hAnsi="Calibri" w:cs="Calibri"/>
                <w:color w:val="000000"/>
                <w:sz w:val="20"/>
                <w:szCs w:val="20"/>
                <w:lang w:eastAsia="en-GB"/>
              </w:rPr>
              <w:br/>
              <w:t>• Aim to create attractive places</w:t>
            </w:r>
            <w:r w:rsidRPr="00E74330">
              <w:rPr>
                <w:rFonts w:ascii="Calibri" w:eastAsia="Times New Roman" w:hAnsi="Calibri" w:cs="Calibri"/>
                <w:color w:val="000000"/>
                <w:sz w:val="20"/>
                <w:szCs w:val="20"/>
                <w:lang w:eastAsia="en-GB"/>
              </w:rPr>
              <w:br/>
              <w:t>Surrey CC Design policy 6.4</w:t>
            </w:r>
            <w:r w:rsidRPr="00E74330">
              <w:rPr>
                <w:rFonts w:ascii="Calibri" w:eastAsia="Times New Roman" w:hAnsi="Calibri" w:cs="Calibri"/>
                <w:color w:val="000000"/>
                <w:sz w:val="20"/>
                <w:szCs w:val="20"/>
                <w:lang w:eastAsia="en-GB"/>
              </w:rPr>
              <w:br/>
            </w:r>
            <w:r w:rsidRPr="00E74330">
              <w:rPr>
                <w:rFonts w:ascii="Calibri" w:eastAsia="Times New Roman" w:hAnsi="Calibri" w:cs="Calibri"/>
                <w:color w:val="000000"/>
                <w:sz w:val="20"/>
                <w:szCs w:val="20"/>
                <w:lang w:eastAsia="en-GB"/>
              </w:rPr>
              <w:br/>
              <w:t>The parking courts are open to the street and not within a private realm. Parking courts should have active frontages, but they are adjacent to the rear of existing properties and are large up to 12 bays so not small in scale. Interestingly the new dwellings will not have parking courts behind them only existing dwellings which is highly inequitable.</w:t>
            </w:r>
          </w:p>
        </w:tc>
      </w:tr>
      <w:tr w:rsidR="00E74330" w:rsidRPr="00E74330" w14:paraId="69E6CADA" w14:textId="77777777" w:rsidTr="00E74330">
        <w:trPr>
          <w:trHeight w:val="1975"/>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6079BDC5" w14:textId="77777777" w:rsidR="00E74330" w:rsidRPr="00E74330" w:rsidRDefault="00E74330" w:rsidP="00E74330">
            <w:pPr>
              <w:rPr>
                <w:rFonts w:ascii="Calibri" w:eastAsia="Times New Roman" w:hAnsi="Calibri" w:cs="Calibri"/>
                <w:b/>
                <w:bCs/>
                <w:color w:val="000000"/>
                <w:sz w:val="20"/>
                <w:szCs w:val="20"/>
                <w:lang w:eastAsia="en-GB"/>
              </w:rPr>
            </w:pPr>
            <w:r w:rsidRPr="00E74330">
              <w:rPr>
                <w:rFonts w:ascii="Calibri" w:eastAsia="Times New Roman" w:hAnsi="Calibri" w:cs="Calibri"/>
                <w:b/>
                <w:bCs/>
                <w:color w:val="000000"/>
                <w:sz w:val="20"/>
                <w:szCs w:val="20"/>
                <w:lang w:eastAsia="en-GB"/>
              </w:rPr>
              <w:t>PRIVACY AND OVERLOOKING</w:t>
            </w:r>
            <w:r w:rsidRPr="00E74330">
              <w:rPr>
                <w:rFonts w:ascii="Calibri" w:eastAsia="Times New Roman" w:hAnsi="Calibri" w:cs="Calibri"/>
                <w:b/>
                <w:bCs/>
                <w:color w:val="000000"/>
                <w:sz w:val="20"/>
                <w:szCs w:val="20"/>
                <w:lang w:eastAsia="en-GB"/>
              </w:rPr>
              <w:br/>
              <w:t>Relation to existing buildings</w:t>
            </w:r>
          </w:p>
        </w:tc>
        <w:tc>
          <w:tcPr>
            <w:tcW w:w="8335" w:type="dxa"/>
            <w:tcBorders>
              <w:top w:val="nil"/>
              <w:left w:val="nil"/>
              <w:bottom w:val="single" w:sz="4" w:space="0" w:color="auto"/>
              <w:right w:val="single" w:sz="4" w:space="0" w:color="auto"/>
            </w:tcBorders>
            <w:shd w:val="clear" w:color="auto" w:fill="auto"/>
            <w:vAlign w:val="center"/>
            <w:hideMark/>
          </w:tcPr>
          <w:p w14:paraId="39721D9C" w14:textId="77777777" w:rsidR="00E74330" w:rsidRPr="00E74330" w:rsidRDefault="00E74330" w:rsidP="00E74330">
            <w:pPr>
              <w:rPr>
                <w:rFonts w:ascii="Calibri" w:eastAsia="Times New Roman" w:hAnsi="Calibri" w:cs="Calibri"/>
                <w:color w:val="000000"/>
                <w:sz w:val="20"/>
                <w:szCs w:val="20"/>
                <w:lang w:eastAsia="en-GB"/>
              </w:rPr>
            </w:pPr>
            <w:r w:rsidRPr="00E74330">
              <w:rPr>
                <w:rFonts w:ascii="Calibri" w:eastAsia="Times New Roman" w:hAnsi="Calibri" w:cs="Calibri"/>
                <w:color w:val="000000"/>
                <w:sz w:val="20"/>
                <w:szCs w:val="20"/>
                <w:lang w:eastAsia="en-GB"/>
              </w:rPr>
              <w:t>Due to the inappropriately high densities proposed against existing properties, there will be an increase in noise, overlooking and reduction of privacy. Several parking courts are proposed backing on to the rear of existing properties. This will lead to noise from engines and light nuisance from the inevitable installation of motion sensitive security lighting by residents of new dwellings. This diverges from clear guidance in the Runnymede SPD which recommends back-to-back arrangements of dwellings. Parking pools should not back onto or side onto existing dwellings</w:t>
            </w:r>
          </w:p>
        </w:tc>
      </w:tr>
      <w:tr w:rsidR="00E74330" w:rsidRPr="00E74330" w14:paraId="3C9D1908" w14:textId="77777777" w:rsidTr="00E74330">
        <w:trPr>
          <w:trHeight w:val="2129"/>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5600FD96" w14:textId="77777777" w:rsidR="00E74330" w:rsidRPr="00E74330" w:rsidRDefault="00E74330" w:rsidP="00E74330">
            <w:pPr>
              <w:rPr>
                <w:rFonts w:ascii="Calibri" w:eastAsia="Times New Roman" w:hAnsi="Calibri" w:cs="Calibri"/>
                <w:b/>
                <w:bCs/>
                <w:color w:val="000000"/>
                <w:sz w:val="20"/>
                <w:szCs w:val="20"/>
                <w:lang w:eastAsia="en-GB"/>
              </w:rPr>
            </w:pPr>
            <w:r w:rsidRPr="00E74330">
              <w:rPr>
                <w:rFonts w:ascii="Calibri" w:eastAsia="Times New Roman" w:hAnsi="Calibri" w:cs="Calibri"/>
                <w:b/>
                <w:bCs/>
                <w:color w:val="000000"/>
                <w:sz w:val="20"/>
                <w:szCs w:val="20"/>
                <w:lang w:eastAsia="en-GB"/>
              </w:rPr>
              <w:lastRenderedPageBreak/>
              <w:t>PRIVACY AND OVERLOOKING</w:t>
            </w:r>
            <w:r w:rsidRPr="00E74330">
              <w:rPr>
                <w:rFonts w:ascii="Calibri" w:eastAsia="Times New Roman" w:hAnsi="Calibri" w:cs="Calibri"/>
                <w:b/>
                <w:bCs/>
                <w:color w:val="000000"/>
                <w:sz w:val="20"/>
                <w:szCs w:val="20"/>
                <w:lang w:eastAsia="en-GB"/>
              </w:rPr>
              <w:br/>
              <w:t>Relation to existing buildings</w:t>
            </w:r>
          </w:p>
        </w:tc>
        <w:tc>
          <w:tcPr>
            <w:tcW w:w="8335" w:type="dxa"/>
            <w:tcBorders>
              <w:top w:val="nil"/>
              <w:left w:val="nil"/>
              <w:bottom w:val="single" w:sz="4" w:space="0" w:color="auto"/>
              <w:right w:val="single" w:sz="4" w:space="0" w:color="auto"/>
            </w:tcBorders>
            <w:shd w:val="clear" w:color="auto" w:fill="auto"/>
            <w:vAlign w:val="center"/>
            <w:hideMark/>
          </w:tcPr>
          <w:p w14:paraId="7F0D4F03" w14:textId="2B1A41C1" w:rsidR="00E74330" w:rsidRPr="00E74330" w:rsidRDefault="00E74330" w:rsidP="00E74330">
            <w:pPr>
              <w:rPr>
                <w:rFonts w:ascii="Calibri" w:eastAsia="Times New Roman" w:hAnsi="Calibri" w:cs="Calibri"/>
                <w:color w:val="000000"/>
                <w:sz w:val="20"/>
                <w:szCs w:val="20"/>
                <w:lang w:eastAsia="en-GB"/>
              </w:rPr>
            </w:pPr>
            <w:r w:rsidRPr="00E74330">
              <w:rPr>
                <w:rFonts w:ascii="Calibri" w:eastAsia="Times New Roman" w:hAnsi="Calibri" w:cs="Calibri"/>
                <w:color w:val="000000"/>
                <w:sz w:val="20"/>
                <w:szCs w:val="20"/>
                <w:lang w:eastAsia="en-GB"/>
              </w:rPr>
              <w:t>"Well-designed new development is integrated into its wider surroundings, physically, socially and visually"</w:t>
            </w:r>
            <w:r w:rsidRPr="00E74330">
              <w:rPr>
                <w:rFonts w:ascii="Calibri" w:eastAsia="Times New Roman" w:hAnsi="Calibri" w:cs="Calibri"/>
                <w:color w:val="000000"/>
                <w:sz w:val="20"/>
                <w:szCs w:val="20"/>
                <w:lang w:eastAsia="en-GB"/>
              </w:rPr>
              <w:br/>
            </w:r>
            <w:r w:rsidRPr="00E74330">
              <w:rPr>
                <w:rFonts w:ascii="Calibri" w:eastAsia="Times New Roman" w:hAnsi="Calibri" w:cs="Calibri"/>
                <w:color w:val="000000"/>
                <w:sz w:val="20"/>
                <w:szCs w:val="20"/>
                <w:lang w:eastAsia="en-GB"/>
              </w:rPr>
              <w:br/>
              <w:t xml:space="preserve">The proposed development does not integrate or feather in with the existing settlement. Density doubles. The style of housing proposed is generic and essentially </w:t>
            </w:r>
            <w:r w:rsidR="00FF2201" w:rsidRPr="00E74330">
              <w:rPr>
                <w:rFonts w:ascii="Calibri" w:eastAsia="Times New Roman" w:hAnsi="Calibri" w:cs="Calibri"/>
                <w:color w:val="000000"/>
                <w:sz w:val="20"/>
                <w:szCs w:val="20"/>
                <w:lang w:eastAsia="en-GB"/>
              </w:rPr>
              <w:t>like</w:t>
            </w:r>
            <w:r w:rsidRPr="00E74330">
              <w:rPr>
                <w:rFonts w:ascii="Calibri" w:eastAsia="Times New Roman" w:hAnsi="Calibri" w:cs="Calibri"/>
                <w:color w:val="000000"/>
                <w:sz w:val="20"/>
                <w:szCs w:val="20"/>
                <w:lang w:eastAsia="en-GB"/>
              </w:rPr>
              <w:t xml:space="preserve"> </w:t>
            </w:r>
            <w:proofErr w:type="gramStart"/>
            <w:r w:rsidRPr="00E74330">
              <w:rPr>
                <w:rFonts w:ascii="Calibri" w:eastAsia="Times New Roman" w:hAnsi="Calibri" w:cs="Calibri"/>
                <w:color w:val="000000"/>
                <w:sz w:val="20"/>
                <w:szCs w:val="20"/>
                <w:lang w:eastAsia="en-GB"/>
              </w:rPr>
              <w:t>all of</w:t>
            </w:r>
            <w:proofErr w:type="gramEnd"/>
            <w:r w:rsidRPr="00E74330">
              <w:rPr>
                <w:rFonts w:ascii="Calibri" w:eastAsia="Times New Roman" w:hAnsi="Calibri" w:cs="Calibri"/>
                <w:color w:val="000000"/>
                <w:sz w:val="20"/>
                <w:szCs w:val="20"/>
                <w:lang w:eastAsia="en-GB"/>
              </w:rPr>
              <w:t xml:space="preserve"> the applicants housing units at all its sites nationally and does not reflect the Ottershaw vernacular which is mixed styles representing multiple architectural styles of different periods</w:t>
            </w:r>
          </w:p>
        </w:tc>
      </w:tr>
      <w:tr w:rsidR="00E74330" w:rsidRPr="00E74330" w14:paraId="73C3F31B" w14:textId="77777777" w:rsidTr="00E74330">
        <w:trPr>
          <w:trHeight w:val="4060"/>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71D613F5" w14:textId="77777777" w:rsidR="00E74330" w:rsidRPr="00E74330" w:rsidRDefault="00E74330" w:rsidP="00E74330">
            <w:pPr>
              <w:rPr>
                <w:rFonts w:ascii="Calibri" w:eastAsia="Times New Roman" w:hAnsi="Calibri" w:cs="Calibri"/>
                <w:b/>
                <w:bCs/>
                <w:color w:val="000000"/>
                <w:sz w:val="20"/>
                <w:szCs w:val="20"/>
                <w:lang w:eastAsia="en-GB"/>
              </w:rPr>
            </w:pPr>
            <w:r w:rsidRPr="00E74330">
              <w:rPr>
                <w:rFonts w:ascii="Calibri" w:eastAsia="Times New Roman" w:hAnsi="Calibri" w:cs="Calibri"/>
                <w:b/>
                <w:bCs/>
                <w:color w:val="000000"/>
                <w:sz w:val="20"/>
                <w:szCs w:val="20"/>
                <w:lang w:eastAsia="en-GB"/>
              </w:rPr>
              <w:t>PRIVACY AND OVERLOOKING</w:t>
            </w:r>
            <w:r w:rsidRPr="00E74330">
              <w:rPr>
                <w:rFonts w:ascii="Calibri" w:eastAsia="Times New Roman" w:hAnsi="Calibri" w:cs="Calibri"/>
                <w:b/>
                <w:bCs/>
                <w:color w:val="000000"/>
                <w:sz w:val="20"/>
                <w:szCs w:val="20"/>
                <w:lang w:eastAsia="en-GB"/>
              </w:rPr>
              <w:br/>
              <w:t>Relation to existing buildings</w:t>
            </w:r>
          </w:p>
        </w:tc>
        <w:tc>
          <w:tcPr>
            <w:tcW w:w="8335" w:type="dxa"/>
            <w:tcBorders>
              <w:top w:val="nil"/>
              <w:left w:val="nil"/>
              <w:bottom w:val="single" w:sz="4" w:space="0" w:color="auto"/>
              <w:right w:val="single" w:sz="4" w:space="0" w:color="auto"/>
            </w:tcBorders>
            <w:shd w:val="clear" w:color="auto" w:fill="auto"/>
            <w:vAlign w:val="center"/>
            <w:hideMark/>
          </w:tcPr>
          <w:p w14:paraId="3CC885DB" w14:textId="77777777" w:rsidR="00E74330" w:rsidRPr="00E74330" w:rsidRDefault="00E74330" w:rsidP="00E74330">
            <w:pPr>
              <w:rPr>
                <w:rFonts w:ascii="Calibri" w:eastAsia="Times New Roman" w:hAnsi="Calibri" w:cs="Calibri"/>
                <w:color w:val="000000"/>
                <w:sz w:val="20"/>
                <w:szCs w:val="20"/>
                <w:lang w:eastAsia="en-GB"/>
              </w:rPr>
            </w:pPr>
            <w:r w:rsidRPr="00E74330">
              <w:rPr>
                <w:rFonts w:ascii="Calibri" w:eastAsia="Times New Roman" w:hAnsi="Calibri" w:cs="Calibri"/>
                <w:color w:val="000000"/>
                <w:sz w:val="20"/>
                <w:szCs w:val="20"/>
                <w:lang w:eastAsia="en-GB"/>
              </w:rPr>
              <w:t>There is concern that back-to-back distances for 119, 121 and 123 Brox road do not meet the minimum 22M distance for rear elevations and this must be confirmed. These houses are bungalows backing onto 2 story new dwellings and therefore a longer distance is usually required to prevent overlooking. The rear elevation of 135A Brox Road is 2M from the site border. Only 6 M separates the elevations between 135A and proposed new dwellings. For buildings sighted at perpendicular or obtuse angles the rule of thumb is that the 22M can be reduced by 25% which means that the rear elevations should be separated by around 17M from habitable rear windows. The 6M allowed in the application means this is not achieved. The 2 sets of 3-unit terraced houses should be moved back to align with the rear building line of the run of new semi-detached houses on the</w:t>
            </w:r>
            <w:r w:rsidRPr="00E74330">
              <w:rPr>
                <w:rFonts w:ascii="Calibri" w:eastAsia="Times New Roman" w:hAnsi="Calibri" w:cs="Calibri"/>
                <w:color w:val="000000"/>
                <w:lang w:eastAsia="en-GB"/>
              </w:rPr>
              <w:t xml:space="preserve"> </w:t>
            </w:r>
            <w:r w:rsidRPr="00E74330">
              <w:rPr>
                <w:rFonts w:ascii="Calibri" w:eastAsia="Times New Roman" w:hAnsi="Calibri" w:cs="Calibri"/>
                <w:color w:val="000000"/>
                <w:sz w:val="20"/>
                <w:szCs w:val="20"/>
                <w:lang w:eastAsia="en-GB"/>
              </w:rPr>
              <w:t>Northwest border.  The terraced houses should be amended to 2 sets of semi-detached houses to align with plot rhythm and satisfy the separation distance. Indeed,</w:t>
            </w:r>
            <w:r w:rsidRPr="00E74330">
              <w:rPr>
                <w:rFonts w:ascii="Calibri" w:eastAsia="Times New Roman" w:hAnsi="Calibri" w:cs="Calibri"/>
                <w:color w:val="000000"/>
                <w:lang w:eastAsia="en-GB"/>
              </w:rPr>
              <w:t xml:space="preserve"> </w:t>
            </w:r>
            <w:r w:rsidRPr="00E74330">
              <w:rPr>
                <w:rFonts w:ascii="Calibri" w:eastAsia="Times New Roman" w:hAnsi="Calibri" w:cs="Calibri"/>
                <w:color w:val="000000"/>
                <w:sz w:val="20"/>
                <w:szCs w:val="20"/>
                <w:lang w:eastAsia="en-GB"/>
              </w:rPr>
              <w:t>this was proposed by planners at pre-app advice on 11/11/21 but has somehow been dropped in the final design. Midway Cottage on Southwood Avenue has 4 houses and 2 traveller pitches backing side on producing an immediate increase in density which is unacceptable and does not align with plot rhythm</w:t>
            </w:r>
          </w:p>
        </w:tc>
      </w:tr>
      <w:tr w:rsidR="00E74330" w:rsidRPr="00E74330" w14:paraId="6D51C030" w14:textId="77777777" w:rsidTr="00E74330">
        <w:trPr>
          <w:trHeight w:val="2660"/>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3F5236C3" w14:textId="77777777" w:rsidR="00E74330" w:rsidRPr="00E74330" w:rsidRDefault="00E74330" w:rsidP="00E74330">
            <w:pPr>
              <w:rPr>
                <w:rFonts w:ascii="Calibri" w:eastAsia="Times New Roman" w:hAnsi="Calibri" w:cs="Calibri"/>
                <w:b/>
                <w:bCs/>
                <w:color w:val="000000"/>
                <w:sz w:val="20"/>
                <w:szCs w:val="20"/>
                <w:lang w:eastAsia="en-GB"/>
              </w:rPr>
            </w:pPr>
            <w:r w:rsidRPr="00E74330">
              <w:rPr>
                <w:rFonts w:ascii="Calibri" w:eastAsia="Times New Roman" w:hAnsi="Calibri" w:cs="Calibri"/>
                <w:b/>
                <w:bCs/>
                <w:color w:val="000000"/>
                <w:sz w:val="20"/>
                <w:szCs w:val="20"/>
                <w:lang w:eastAsia="en-GB"/>
              </w:rPr>
              <w:t>PRIVACY AND OVERLOOKING</w:t>
            </w:r>
            <w:r w:rsidRPr="00E74330">
              <w:rPr>
                <w:rFonts w:ascii="Calibri" w:eastAsia="Times New Roman" w:hAnsi="Calibri" w:cs="Calibri"/>
                <w:b/>
                <w:bCs/>
                <w:color w:val="000000"/>
                <w:sz w:val="20"/>
                <w:szCs w:val="20"/>
                <w:lang w:eastAsia="en-GB"/>
              </w:rPr>
              <w:br/>
              <w:t>Relation to existing buildings</w:t>
            </w:r>
          </w:p>
        </w:tc>
        <w:tc>
          <w:tcPr>
            <w:tcW w:w="8335" w:type="dxa"/>
            <w:tcBorders>
              <w:top w:val="nil"/>
              <w:left w:val="nil"/>
              <w:bottom w:val="single" w:sz="4" w:space="0" w:color="auto"/>
              <w:right w:val="single" w:sz="4" w:space="0" w:color="auto"/>
            </w:tcBorders>
            <w:shd w:val="clear" w:color="auto" w:fill="auto"/>
            <w:vAlign w:val="center"/>
            <w:hideMark/>
          </w:tcPr>
          <w:p w14:paraId="500BBCAB" w14:textId="7137B0D6" w:rsidR="00E74330" w:rsidRPr="00E74330" w:rsidRDefault="00E74330" w:rsidP="00E74330">
            <w:pPr>
              <w:rPr>
                <w:rFonts w:ascii="Calibri" w:eastAsia="Times New Roman" w:hAnsi="Calibri" w:cs="Calibri"/>
                <w:color w:val="000000"/>
                <w:sz w:val="20"/>
                <w:szCs w:val="20"/>
                <w:lang w:eastAsia="en-GB"/>
              </w:rPr>
            </w:pPr>
            <w:r w:rsidRPr="00E74330">
              <w:rPr>
                <w:rFonts w:ascii="Calibri" w:eastAsia="Times New Roman" w:hAnsi="Calibri" w:cs="Calibri"/>
                <w:color w:val="000000"/>
                <w:sz w:val="20"/>
                <w:szCs w:val="20"/>
                <w:lang w:eastAsia="en-GB"/>
              </w:rPr>
              <w:t>“Plots should be configured so that new development relates well to its neighbours.”</w:t>
            </w:r>
            <w:r w:rsidRPr="00E74330">
              <w:rPr>
                <w:rFonts w:ascii="Calibri" w:eastAsia="Times New Roman" w:hAnsi="Calibri" w:cs="Calibri"/>
                <w:color w:val="000000"/>
                <w:sz w:val="20"/>
                <w:szCs w:val="20"/>
                <w:lang w:eastAsia="en-GB"/>
              </w:rPr>
              <w:br/>
              <w:t>“Development must respond to the plot and building rhythm within the local context”</w:t>
            </w:r>
            <w:r w:rsidRPr="00E74330">
              <w:rPr>
                <w:rFonts w:ascii="Calibri" w:eastAsia="Times New Roman" w:hAnsi="Calibri" w:cs="Calibri"/>
                <w:color w:val="000000"/>
                <w:sz w:val="20"/>
                <w:szCs w:val="20"/>
                <w:lang w:eastAsia="en-GB"/>
              </w:rPr>
              <w:br/>
            </w:r>
            <w:r w:rsidRPr="00E74330">
              <w:rPr>
                <w:rFonts w:ascii="Calibri" w:eastAsia="Times New Roman" w:hAnsi="Calibri" w:cs="Calibri"/>
                <w:color w:val="000000"/>
                <w:sz w:val="20"/>
                <w:szCs w:val="20"/>
                <w:lang w:eastAsia="en-GB"/>
              </w:rPr>
              <w:br/>
              <w:t xml:space="preserve">The development poorly integrates around the border with existing </w:t>
            </w:r>
            <w:r w:rsidR="00FF2201" w:rsidRPr="00E74330">
              <w:rPr>
                <w:rFonts w:ascii="Calibri" w:eastAsia="Times New Roman" w:hAnsi="Calibri" w:cs="Calibri"/>
                <w:color w:val="000000"/>
                <w:sz w:val="20"/>
                <w:szCs w:val="20"/>
                <w:lang w:eastAsia="en-GB"/>
              </w:rPr>
              <w:t>residents’</w:t>
            </w:r>
            <w:r w:rsidRPr="00E74330">
              <w:rPr>
                <w:rFonts w:ascii="Calibri" w:eastAsia="Times New Roman" w:hAnsi="Calibri" w:cs="Calibri"/>
                <w:color w:val="000000"/>
                <w:sz w:val="20"/>
                <w:szCs w:val="20"/>
                <w:lang w:eastAsia="en-GB"/>
              </w:rPr>
              <w:t xml:space="preserve"> properties on the Northwest and Southwest edge. There are pockets of poor integration and </w:t>
            </w:r>
            <w:r w:rsidR="00FF2201" w:rsidRPr="00E74330">
              <w:rPr>
                <w:rFonts w:ascii="Calibri" w:eastAsia="Times New Roman" w:hAnsi="Calibri" w:cs="Calibri"/>
                <w:color w:val="000000"/>
                <w:sz w:val="20"/>
                <w:szCs w:val="20"/>
                <w:lang w:eastAsia="en-GB"/>
              </w:rPr>
              <w:t>high-density</w:t>
            </w:r>
            <w:r w:rsidRPr="00E74330">
              <w:rPr>
                <w:rFonts w:ascii="Calibri" w:eastAsia="Times New Roman" w:hAnsi="Calibri" w:cs="Calibri"/>
                <w:color w:val="000000"/>
                <w:sz w:val="20"/>
                <w:szCs w:val="20"/>
                <w:lang w:eastAsia="en-GB"/>
              </w:rPr>
              <w:t xml:space="preserve"> arrangements of new housing backing on. </w:t>
            </w:r>
          </w:p>
        </w:tc>
      </w:tr>
      <w:tr w:rsidR="00E74330" w:rsidRPr="00E74330" w14:paraId="0F3F09BE" w14:textId="77777777" w:rsidTr="00E74330">
        <w:trPr>
          <w:trHeight w:val="4385"/>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7446E9FF" w14:textId="77777777" w:rsidR="00E74330" w:rsidRPr="00E74330" w:rsidRDefault="00E74330" w:rsidP="00E74330">
            <w:pPr>
              <w:rPr>
                <w:rFonts w:ascii="Calibri" w:eastAsia="Times New Roman" w:hAnsi="Calibri" w:cs="Calibri"/>
                <w:b/>
                <w:bCs/>
                <w:color w:val="000000"/>
                <w:sz w:val="20"/>
                <w:szCs w:val="20"/>
                <w:lang w:eastAsia="en-GB"/>
              </w:rPr>
            </w:pPr>
            <w:r w:rsidRPr="00E74330">
              <w:rPr>
                <w:rFonts w:ascii="Calibri" w:eastAsia="Times New Roman" w:hAnsi="Calibri" w:cs="Calibri"/>
                <w:b/>
                <w:bCs/>
                <w:color w:val="000000"/>
                <w:sz w:val="20"/>
                <w:szCs w:val="20"/>
                <w:lang w:eastAsia="en-GB"/>
              </w:rPr>
              <w:t>119 - 135A Brox Road</w:t>
            </w:r>
            <w:r w:rsidRPr="00E74330">
              <w:rPr>
                <w:rFonts w:ascii="Calibri" w:eastAsia="Times New Roman" w:hAnsi="Calibri" w:cs="Calibri"/>
                <w:b/>
                <w:bCs/>
                <w:color w:val="000000"/>
                <w:sz w:val="20"/>
                <w:szCs w:val="20"/>
                <w:lang w:eastAsia="en-GB"/>
              </w:rPr>
              <w:br/>
            </w:r>
            <w:r w:rsidRPr="00E74330">
              <w:rPr>
                <w:rFonts w:ascii="Calibri" w:eastAsia="Times New Roman" w:hAnsi="Calibri" w:cs="Calibri"/>
                <w:b/>
                <w:bCs/>
                <w:color w:val="000000"/>
                <w:sz w:val="20"/>
                <w:szCs w:val="20"/>
                <w:lang w:eastAsia="en-GB"/>
              </w:rPr>
              <w:br/>
              <w:t>Existing properties in Southwood Avenue</w:t>
            </w:r>
          </w:p>
        </w:tc>
        <w:tc>
          <w:tcPr>
            <w:tcW w:w="8335" w:type="dxa"/>
            <w:tcBorders>
              <w:top w:val="nil"/>
              <w:left w:val="nil"/>
              <w:bottom w:val="single" w:sz="4" w:space="0" w:color="auto"/>
              <w:right w:val="single" w:sz="4" w:space="0" w:color="auto"/>
            </w:tcBorders>
            <w:shd w:val="clear" w:color="auto" w:fill="auto"/>
            <w:vAlign w:val="center"/>
            <w:hideMark/>
          </w:tcPr>
          <w:p w14:paraId="5F8BBF84" w14:textId="77777777" w:rsidR="00E74330" w:rsidRPr="00E74330" w:rsidRDefault="00E74330" w:rsidP="00E74330">
            <w:pPr>
              <w:rPr>
                <w:rFonts w:ascii="Calibri" w:eastAsia="Times New Roman" w:hAnsi="Calibri" w:cs="Calibri"/>
                <w:color w:val="000000"/>
                <w:sz w:val="20"/>
                <w:szCs w:val="20"/>
                <w:lang w:eastAsia="en-GB"/>
              </w:rPr>
            </w:pPr>
            <w:r w:rsidRPr="00E74330">
              <w:rPr>
                <w:rFonts w:ascii="Calibri" w:eastAsia="Times New Roman" w:hAnsi="Calibri" w:cs="Calibri"/>
                <w:color w:val="000000"/>
                <w:sz w:val="20"/>
                <w:szCs w:val="20"/>
                <w:lang w:eastAsia="en-GB"/>
              </w:rPr>
              <w:t>“Plots should be configured so that new development relates well to its neighbours.”</w:t>
            </w:r>
            <w:r w:rsidRPr="00E74330">
              <w:rPr>
                <w:rFonts w:ascii="Calibri" w:eastAsia="Times New Roman" w:hAnsi="Calibri" w:cs="Calibri"/>
                <w:color w:val="000000"/>
                <w:sz w:val="20"/>
                <w:szCs w:val="20"/>
                <w:lang w:eastAsia="en-GB"/>
              </w:rPr>
              <w:br/>
            </w:r>
            <w:r w:rsidRPr="00E74330">
              <w:rPr>
                <w:rFonts w:ascii="Calibri" w:eastAsia="Times New Roman" w:hAnsi="Calibri" w:cs="Calibri"/>
                <w:color w:val="000000"/>
                <w:sz w:val="20"/>
                <w:szCs w:val="20"/>
                <w:lang w:eastAsia="en-GB"/>
              </w:rPr>
              <w:br/>
              <w:t xml:space="preserve">This is not the case for the arrangement with existing properties on the border. Siting 2 sets of 3-unit terraces directly behind 135A Brox Road does not align with plot rhythm for existing buildings or the run of new semi-detached houses adjacent to it. Nor does it respond sympathetically to context. </w:t>
            </w:r>
            <w:r w:rsidRPr="00E74330">
              <w:rPr>
                <w:rFonts w:ascii="Calibri" w:eastAsia="Times New Roman" w:hAnsi="Calibri" w:cs="Calibri"/>
                <w:color w:val="000000"/>
                <w:sz w:val="20"/>
                <w:szCs w:val="20"/>
                <w:lang w:eastAsia="en-GB"/>
              </w:rPr>
              <w:br/>
            </w:r>
            <w:r w:rsidRPr="00E74330">
              <w:rPr>
                <w:rFonts w:ascii="Calibri" w:eastAsia="Times New Roman" w:hAnsi="Calibri" w:cs="Calibri"/>
                <w:color w:val="000000"/>
                <w:sz w:val="20"/>
                <w:szCs w:val="20"/>
                <w:lang w:eastAsia="en-GB"/>
              </w:rPr>
              <w:br/>
              <w:t>Detail from applicants Design and Access statement pre-App advice on 11/11/22 showed the recommended arrangement of dwellings behind 135A Brox Road, level with the rear building line of the row of new housing bordering the Northwest border. This is now dropped from the final scheme. Why?</w:t>
            </w:r>
            <w:r w:rsidRPr="00E74330">
              <w:rPr>
                <w:rFonts w:ascii="Calibri" w:eastAsia="Times New Roman" w:hAnsi="Calibri" w:cs="Calibri"/>
                <w:color w:val="000000"/>
                <w:sz w:val="20"/>
                <w:szCs w:val="20"/>
                <w:lang w:eastAsia="en-GB"/>
              </w:rPr>
              <w:br/>
              <w:t>Back-to-back distances for 119-123 Brox Road bungalows against 2 story houses must be confirmed to be more than 22M</w:t>
            </w:r>
            <w:r w:rsidRPr="00E74330">
              <w:rPr>
                <w:rFonts w:ascii="Calibri" w:eastAsia="Times New Roman" w:hAnsi="Calibri" w:cs="Calibri"/>
                <w:color w:val="000000"/>
                <w:sz w:val="20"/>
                <w:szCs w:val="20"/>
                <w:lang w:eastAsia="en-GB"/>
              </w:rPr>
              <w:br/>
            </w:r>
            <w:r w:rsidRPr="00E74330">
              <w:rPr>
                <w:rFonts w:ascii="Calibri" w:eastAsia="Times New Roman" w:hAnsi="Calibri" w:cs="Calibri"/>
                <w:color w:val="000000"/>
                <w:sz w:val="20"/>
                <w:szCs w:val="20"/>
                <w:lang w:eastAsia="en-GB"/>
              </w:rPr>
              <w:br/>
              <w:t xml:space="preserve">2B and </w:t>
            </w:r>
            <w:proofErr w:type="spellStart"/>
            <w:r w:rsidRPr="00E74330">
              <w:rPr>
                <w:rFonts w:ascii="Calibri" w:eastAsia="Times New Roman" w:hAnsi="Calibri" w:cs="Calibri"/>
                <w:color w:val="000000"/>
                <w:sz w:val="20"/>
                <w:szCs w:val="20"/>
                <w:lang w:eastAsia="en-GB"/>
              </w:rPr>
              <w:t>Meadway</w:t>
            </w:r>
            <w:proofErr w:type="spellEnd"/>
            <w:r w:rsidRPr="00E74330">
              <w:rPr>
                <w:rFonts w:ascii="Calibri" w:eastAsia="Times New Roman" w:hAnsi="Calibri" w:cs="Calibri"/>
                <w:color w:val="000000"/>
                <w:sz w:val="20"/>
                <w:szCs w:val="20"/>
                <w:lang w:eastAsia="en-GB"/>
              </w:rPr>
              <w:t xml:space="preserve"> on Southwood Avenue are poorly treated by the design with large number parking courts or huge increases in immediate density from new dwellings. This is an adverse effect on the amenity of these residents </w:t>
            </w:r>
            <w:proofErr w:type="spellStart"/>
            <w:r w:rsidRPr="00E74330">
              <w:rPr>
                <w:rFonts w:ascii="Calibri" w:eastAsia="Times New Roman" w:hAnsi="Calibri" w:cs="Calibri"/>
                <w:color w:val="000000"/>
                <w:sz w:val="20"/>
                <w:szCs w:val="20"/>
                <w:lang w:eastAsia="en-GB"/>
              </w:rPr>
              <w:t>conrary</w:t>
            </w:r>
            <w:proofErr w:type="spellEnd"/>
            <w:r w:rsidRPr="00E74330">
              <w:rPr>
                <w:rFonts w:ascii="Calibri" w:eastAsia="Times New Roman" w:hAnsi="Calibri" w:cs="Calibri"/>
                <w:color w:val="000000"/>
                <w:sz w:val="20"/>
                <w:szCs w:val="20"/>
                <w:lang w:eastAsia="en-GB"/>
              </w:rPr>
              <w:t xml:space="preserve"> to policy EE1</w:t>
            </w:r>
          </w:p>
        </w:tc>
      </w:tr>
      <w:tr w:rsidR="00E74330" w:rsidRPr="00E74330" w14:paraId="2F2498F3" w14:textId="77777777" w:rsidTr="00E74330">
        <w:trPr>
          <w:trHeight w:val="1697"/>
        </w:trPr>
        <w:tc>
          <w:tcPr>
            <w:tcW w:w="2008" w:type="dxa"/>
            <w:tcBorders>
              <w:top w:val="nil"/>
              <w:left w:val="single" w:sz="4" w:space="0" w:color="auto"/>
              <w:bottom w:val="single" w:sz="4" w:space="0" w:color="auto"/>
              <w:right w:val="single" w:sz="4" w:space="0" w:color="auto"/>
            </w:tcBorders>
            <w:shd w:val="clear" w:color="auto" w:fill="auto"/>
            <w:noWrap/>
            <w:vAlign w:val="center"/>
            <w:hideMark/>
          </w:tcPr>
          <w:p w14:paraId="006568E3" w14:textId="77777777" w:rsidR="00E74330" w:rsidRPr="00E74330" w:rsidRDefault="00E74330" w:rsidP="00E74330">
            <w:pPr>
              <w:rPr>
                <w:rFonts w:ascii="Calibri" w:eastAsia="Times New Roman" w:hAnsi="Calibri" w:cs="Calibri"/>
                <w:b/>
                <w:bCs/>
                <w:color w:val="000000"/>
                <w:sz w:val="20"/>
                <w:szCs w:val="20"/>
                <w:lang w:eastAsia="en-GB"/>
              </w:rPr>
            </w:pPr>
            <w:r w:rsidRPr="00E74330">
              <w:rPr>
                <w:rFonts w:ascii="Calibri" w:eastAsia="Times New Roman" w:hAnsi="Calibri" w:cs="Calibri"/>
                <w:b/>
                <w:bCs/>
                <w:color w:val="000000"/>
                <w:sz w:val="20"/>
                <w:szCs w:val="20"/>
                <w:lang w:eastAsia="en-GB"/>
              </w:rPr>
              <w:t>OPEN SPACE</w:t>
            </w:r>
          </w:p>
        </w:tc>
        <w:tc>
          <w:tcPr>
            <w:tcW w:w="8335" w:type="dxa"/>
            <w:tcBorders>
              <w:top w:val="nil"/>
              <w:left w:val="nil"/>
              <w:bottom w:val="single" w:sz="4" w:space="0" w:color="auto"/>
              <w:right w:val="single" w:sz="4" w:space="0" w:color="auto"/>
            </w:tcBorders>
            <w:shd w:val="clear" w:color="auto" w:fill="auto"/>
            <w:vAlign w:val="center"/>
            <w:hideMark/>
          </w:tcPr>
          <w:p w14:paraId="4D757C0B" w14:textId="2250F395" w:rsidR="00E74330" w:rsidRPr="00E74330" w:rsidRDefault="00E74330" w:rsidP="00E74330">
            <w:pPr>
              <w:rPr>
                <w:rFonts w:ascii="Calibri" w:eastAsia="Times New Roman" w:hAnsi="Calibri" w:cs="Calibri"/>
                <w:color w:val="000000"/>
                <w:sz w:val="20"/>
                <w:szCs w:val="20"/>
                <w:lang w:eastAsia="en-GB"/>
              </w:rPr>
            </w:pPr>
            <w:r w:rsidRPr="00E74330">
              <w:rPr>
                <w:rFonts w:ascii="Calibri" w:eastAsia="Times New Roman" w:hAnsi="Calibri" w:cs="Calibri"/>
                <w:color w:val="000000"/>
                <w:sz w:val="20"/>
                <w:szCs w:val="20"/>
                <w:lang w:eastAsia="en-GB"/>
              </w:rPr>
              <w:t xml:space="preserve">The LAP is within the buffer area at the edge of the development with minimal surveillance </w:t>
            </w:r>
            <w:r w:rsidR="00FF2201" w:rsidRPr="00E74330">
              <w:rPr>
                <w:rFonts w:ascii="Calibri" w:eastAsia="Times New Roman" w:hAnsi="Calibri" w:cs="Calibri"/>
                <w:color w:val="000000"/>
                <w:sz w:val="20"/>
                <w:szCs w:val="20"/>
                <w:lang w:eastAsia="en-GB"/>
              </w:rPr>
              <w:t xml:space="preserve">encouraging </w:t>
            </w:r>
            <w:r w:rsidRPr="00E74330">
              <w:rPr>
                <w:rFonts w:ascii="Calibri" w:eastAsia="Times New Roman" w:hAnsi="Calibri" w:cs="Calibri"/>
                <w:color w:val="000000"/>
                <w:sz w:val="20"/>
                <w:szCs w:val="20"/>
                <w:lang w:eastAsia="en-GB"/>
              </w:rPr>
              <w:t>anti-social behaviour. There is no green or social space within the centre of the development to detract from the uniform monotony of the central area. It is clearly stated within both the National Design Guide and National Planning Policy that developments of this size should integrate a variety of open green spaces in a variety of sizes and locations</w:t>
            </w:r>
          </w:p>
        </w:tc>
      </w:tr>
      <w:tr w:rsidR="00E74330" w:rsidRPr="00E74330" w14:paraId="0E7F6546" w14:textId="77777777" w:rsidTr="00E74330">
        <w:trPr>
          <w:trHeight w:val="2685"/>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2A0C7A2B" w14:textId="77777777" w:rsidR="00E74330" w:rsidRPr="00E74330" w:rsidRDefault="00E74330" w:rsidP="00E74330">
            <w:pPr>
              <w:rPr>
                <w:rFonts w:ascii="Calibri" w:eastAsia="Times New Roman" w:hAnsi="Calibri" w:cs="Calibri"/>
                <w:b/>
                <w:bCs/>
                <w:color w:val="000000"/>
                <w:sz w:val="20"/>
                <w:szCs w:val="20"/>
                <w:lang w:eastAsia="en-GB"/>
              </w:rPr>
            </w:pPr>
            <w:r w:rsidRPr="00E74330">
              <w:rPr>
                <w:rFonts w:ascii="Calibri" w:eastAsia="Times New Roman" w:hAnsi="Calibri" w:cs="Calibri"/>
                <w:b/>
                <w:bCs/>
                <w:color w:val="000000"/>
                <w:sz w:val="20"/>
                <w:szCs w:val="20"/>
                <w:lang w:eastAsia="en-GB"/>
              </w:rPr>
              <w:lastRenderedPageBreak/>
              <w:t>TREATMENT OF THE SITE EDGE BORDERING EXISTING PROPERTIES</w:t>
            </w:r>
          </w:p>
        </w:tc>
        <w:tc>
          <w:tcPr>
            <w:tcW w:w="8335" w:type="dxa"/>
            <w:tcBorders>
              <w:top w:val="nil"/>
              <w:left w:val="nil"/>
              <w:bottom w:val="single" w:sz="4" w:space="0" w:color="auto"/>
              <w:right w:val="single" w:sz="4" w:space="0" w:color="auto"/>
            </w:tcBorders>
            <w:shd w:val="clear" w:color="auto" w:fill="auto"/>
            <w:vAlign w:val="center"/>
            <w:hideMark/>
          </w:tcPr>
          <w:p w14:paraId="3BB79FEF" w14:textId="77777777" w:rsidR="00E74330" w:rsidRPr="00E74330" w:rsidRDefault="00E74330" w:rsidP="00E74330">
            <w:pPr>
              <w:rPr>
                <w:rFonts w:ascii="Calibri" w:eastAsia="Times New Roman" w:hAnsi="Calibri" w:cs="Calibri"/>
                <w:color w:val="000000"/>
                <w:sz w:val="20"/>
                <w:szCs w:val="20"/>
                <w:lang w:eastAsia="en-GB"/>
              </w:rPr>
            </w:pPr>
            <w:r w:rsidRPr="00E74330">
              <w:rPr>
                <w:rFonts w:ascii="Calibri" w:eastAsia="Times New Roman" w:hAnsi="Calibri" w:cs="Calibri"/>
                <w:color w:val="000000"/>
                <w:sz w:val="20"/>
                <w:szCs w:val="20"/>
                <w:lang w:eastAsia="en-GB"/>
              </w:rPr>
              <w:t>There is no green edge around the site and no buffer or green corridor to enable the requirement for biodiversity and corridors for wildlife. The slightly deeper hedging behind 135A Brox Road is insufficient for the size of the site. Compare this with Taylor Wimpey’s proposed site at Green Lane only 5mins away. This is a superior design with a green border against existing dwellings. Although this site was allocated for 173 dwellings in the Local Plan (which had already made allowance for proximity to the M25). Taylor Wimpey came in at 149 dwellings for a 7Ha site compared with Ottershaw East at 186 for a much smaller site. The green border against existing dwellings is a design choice by Taylor Wimpey and helps acceptance of the</w:t>
            </w:r>
            <w:r w:rsidRPr="00E74330">
              <w:rPr>
                <w:rFonts w:ascii="Calibri" w:eastAsia="Times New Roman" w:hAnsi="Calibri" w:cs="Calibri"/>
                <w:color w:val="000000"/>
                <w:lang w:eastAsia="en-GB"/>
              </w:rPr>
              <w:t xml:space="preserve"> </w:t>
            </w:r>
            <w:r w:rsidRPr="00E74330">
              <w:rPr>
                <w:rFonts w:ascii="Calibri" w:eastAsia="Times New Roman" w:hAnsi="Calibri" w:cs="Calibri"/>
                <w:color w:val="000000"/>
                <w:sz w:val="20"/>
                <w:szCs w:val="20"/>
                <w:lang w:eastAsia="en-GB"/>
              </w:rPr>
              <w:t>development. In comparison to this site, the scheme for Ottershaw East has thin hedging barely separating existing from new dwellings for most of the site border. Ottershaw East should be treated to the same</w:t>
            </w:r>
            <w:r w:rsidRPr="00E74330">
              <w:rPr>
                <w:rFonts w:ascii="Calibri" w:eastAsia="Times New Roman" w:hAnsi="Calibri" w:cs="Calibri"/>
                <w:color w:val="000000"/>
                <w:lang w:eastAsia="en-GB"/>
              </w:rPr>
              <w:t xml:space="preserve"> </w:t>
            </w:r>
            <w:r w:rsidRPr="00E74330">
              <w:rPr>
                <w:rFonts w:ascii="Calibri" w:eastAsia="Times New Roman" w:hAnsi="Calibri" w:cs="Calibri"/>
                <w:color w:val="000000"/>
                <w:sz w:val="20"/>
                <w:szCs w:val="20"/>
                <w:lang w:eastAsia="en-GB"/>
              </w:rPr>
              <w:t>standard of green infrastructure for existing residents at the edges as the proposed new Taylor Wimpey site at Green Lane.</w:t>
            </w:r>
          </w:p>
        </w:tc>
      </w:tr>
      <w:tr w:rsidR="00E74330" w:rsidRPr="00E74330" w14:paraId="16121937" w14:textId="77777777" w:rsidTr="00E74330">
        <w:trPr>
          <w:trHeight w:val="1465"/>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485CF2EA" w14:textId="77777777" w:rsidR="00E74330" w:rsidRPr="00E74330" w:rsidRDefault="00E74330" w:rsidP="00E74330">
            <w:pPr>
              <w:rPr>
                <w:rFonts w:ascii="Calibri" w:eastAsia="Times New Roman" w:hAnsi="Calibri" w:cs="Calibri"/>
                <w:b/>
                <w:bCs/>
                <w:color w:val="000000"/>
                <w:sz w:val="20"/>
                <w:szCs w:val="20"/>
                <w:lang w:eastAsia="en-GB"/>
              </w:rPr>
            </w:pPr>
            <w:r w:rsidRPr="00E74330">
              <w:rPr>
                <w:rFonts w:ascii="Calibri" w:eastAsia="Times New Roman" w:hAnsi="Calibri" w:cs="Calibri"/>
                <w:b/>
                <w:bCs/>
                <w:color w:val="000000"/>
                <w:sz w:val="20"/>
                <w:szCs w:val="20"/>
                <w:lang w:eastAsia="en-GB"/>
              </w:rPr>
              <w:t>Biodiversity</w:t>
            </w:r>
          </w:p>
        </w:tc>
        <w:tc>
          <w:tcPr>
            <w:tcW w:w="8335" w:type="dxa"/>
            <w:tcBorders>
              <w:top w:val="nil"/>
              <w:left w:val="nil"/>
              <w:bottom w:val="single" w:sz="4" w:space="0" w:color="auto"/>
              <w:right w:val="single" w:sz="4" w:space="0" w:color="auto"/>
            </w:tcBorders>
            <w:shd w:val="clear" w:color="auto" w:fill="auto"/>
            <w:vAlign w:val="center"/>
            <w:hideMark/>
          </w:tcPr>
          <w:p w14:paraId="30DFD599" w14:textId="36013B67" w:rsidR="00E74330" w:rsidRPr="00E74330" w:rsidRDefault="00E74330" w:rsidP="00E74330">
            <w:pPr>
              <w:rPr>
                <w:rFonts w:ascii="Calibri" w:eastAsia="Times New Roman" w:hAnsi="Calibri" w:cs="Calibri"/>
                <w:color w:val="000000"/>
                <w:sz w:val="20"/>
                <w:szCs w:val="20"/>
                <w:lang w:eastAsia="en-GB"/>
              </w:rPr>
            </w:pPr>
            <w:r w:rsidRPr="00E74330">
              <w:rPr>
                <w:rFonts w:ascii="Calibri" w:eastAsia="Times New Roman" w:hAnsi="Calibri" w:cs="Calibri"/>
                <w:color w:val="000000"/>
                <w:sz w:val="20"/>
                <w:szCs w:val="20"/>
                <w:lang w:eastAsia="en-GB"/>
              </w:rPr>
              <w:t xml:space="preserve">Biodiversity should be enhanced as part of new development and should be designed to maximise gains in Biodiversity. The biodiversity net gain calculation is easily gamed. It is common sense that the development will displace deer, badgers, small mammals, </w:t>
            </w:r>
            <w:r w:rsidR="00FF2201" w:rsidRPr="00E74330">
              <w:rPr>
                <w:rFonts w:ascii="Calibri" w:eastAsia="Times New Roman" w:hAnsi="Calibri" w:cs="Calibri"/>
                <w:color w:val="000000"/>
                <w:sz w:val="20"/>
                <w:szCs w:val="20"/>
                <w:lang w:eastAsia="en-GB"/>
              </w:rPr>
              <w:t>reptiles,</w:t>
            </w:r>
            <w:r w:rsidRPr="00E74330">
              <w:rPr>
                <w:rFonts w:ascii="Calibri" w:eastAsia="Times New Roman" w:hAnsi="Calibri" w:cs="Calibri"/>
                <w:color w:val="000000"/>
                <w:sz w:val="20"/>
                <w:szCs w:val="20"/>
                <w:lang w:eastAsia="en-GB"/>
              </w:rPr>
              <w:t xml:space="preserve"> and circling raptors. Displaced by </w:t>
            </w:r>
            <w:r w:rsidR="00FF2201" w:rsidRPr="00E74330">
              <w:rPr>
                <w:rFonts w:ascii="Calibri" w:eastAsia="Times New Roman" w:hAnsi="Calibri" w:cs="Calibri"/>
                <w:color w:val="000000"/>
                <w:sz w:val="20"/>
                <w:szCs w:val="20"/>
                <w:lang w:eastAsia="en-GB"/>
              </w:rPr>
              <w:t>people, dogs,</w:t>
            </w:r>
            <w:r w:rsidRPr="00E74330">
              <w:rPr>
                <w:rFonts w:ascii="Calibri" w:eastAsia="Times New Roman" w:hAnsi="Calibri" w:cs="Calibri"/>
                <w:color w:val="000000"/>
                <w:sz w:val="20"/>
                <w:szCs w:val="20"/>
                <w:lang w:eastAsia="en-GB"/>
              </w:rPr>
              <w:t xml:space="preserve"> and domestic cats. A remote desk top calculation does not change the reality of a biodiversity loss.</w:t>
            </w:r>
          </w:p>
        </w:tc>
      </w:tr>
      <w:tr w:rsidR="00E74330" w:rsidRPr="00E74330" w14:paraId="379CCC8C" w14:textId="77777777" w:rsidTr="00E74330">
        <w:trPr>
          <w:trHeight w:val="4810"/>
        </w:trPr>
        <w:tc>
          <w:tcPr>
            <w:tcW w:w="2008" w:type="dxa"/>
            <w:tcBorders>
              <w:top w:val="nil"/>
              <w:left w:val="single" w:sz="4" w:space="0" w:color="auto"/>
              <w:bottom w:val="single" w:sz="4" w:space="0" w:color="auto"/>
              <w:right w:val="single" w:sz="4" w:space="0" w:color="auto"/>
            </w:tcBorders>
            <w:shd w:val="clear" w:color="auto" w:fill="auto"/>
            <w:vAlign w:val="center"/>
            <w:hideMark/>
          </w:tcPr>
          <w:p w14:paraId="4F5E0329" w14:textId="77777777" w:rsidR="00E74330" w:rsidRPr="00E74330" w:rsidRDefault="00E74330" w:rsidP="00E74330">
            <w:pPr>
              <w:rPr>
                <w:rFonts w:ascii="Calibri" w:eastAsia="Times New Roman" w:hAnsi="Calibri" w:cs="Calibri"/>
                <w:b/>
                <w:bCs/>
                <w:color w:val="000000"/>
                <w:lang w:eastAsia="en-GB"/>
              </w:rPr>
            </w:pPr>
            <w:r w:rsidRPr="00E74330">
              <w:rPr>
                <w:rFonts w:ascii="Calibri" w:eastAsia="Times New Roman" w:hAnsi="Calibri" w:cs="Calibri"/>
                <w:b/>
                <w:bCs/>
                <w:color w:val="000000"/>
                <w:lang w:eastAsia="en-GB"/>
              </w:rPr>
              <w:t>DESIGN OF NEW HOUSING</w:t>
            </w:r>
          </w:p>
        </w:tc>
        <w:tc>
          <w:tcPr>
            <w:tcW w:w="8335" w:type="dxa"/>
            <w:tcBorders>
              <w:top w:val="nil"/>
              <w:left w:val="nil"/>
              <w:bottom w:val="single" w:sz="4" w:space="0" w:color="auto"/>
              <w:right w:val="single" w:sz="4" w:space="0" w:color="auto"/>
            </w:tcBorders>
            <w:shd w:val="clear" w:color="auto" w:fill="auto"/>
            <w:vAlign w:val="center"/>
            <w:hideMark/>
          </w:tcPr>
          <w:p w14:paraId="64AC0DDD" w14:textId="77777777" w:rsidR="00E74330" w:rsidRPr="00E74330" w:rsidRDefault="00E74330" w:rsidP="00E74330">
            <w:pPr>
              <w:rPr>
                <w:rFonts w:ascii="Calibri" w:eastAsia="Times New Roman" w:hAnsi="Calibri" w:cs="Calibri"/>
                <w:color w:val="000000"/>
                <w:sz w:val="20"/>
                <w:szCs w:val="20"/>
                <w:lang w:eastAsia="en-GB"/>
              </w:rPr>
            </w:pPr>
            <w:r w:rsidRPr="00E74330">
              <w:rPr>
                <w:rFonts w:ascii="Calibri" w:eastAsia="Times New Roman" w:hAnsi="Calibri" w:cs="Calibri"/>
                <w:color w:val="000000"/>
                <w:sz w:val="20"/>
                <w:szCs w:val="20"/>
                <w:lang w:eastAsia="en-GB"/>
              </w:rPr>
              <w:t>The layout and streetscape apart from the central avenue is indistinct, featureless, and monotonous. The applicants Design and Access Statement provides cherry picked existing local housing examples that fit into its nationwide generic model housing unit. Although 12 housing types are presented, they are almost identical. However, Ottershaw has a mix of housing from grade 2 listed homes, Arts and Crafts, 18</w:t>
            </w:r>
            <w:r w:rsidRPr="00E74330">
              <w:rPr>
                <w:rFonts w:ascii="Calibri" w:eastAsia="Times New Roman" w:hAnsi="Calibri" w:cs="Calibri"/>
                <w:color w:val="000000"/>
                <w:sz w:val="20"/>
                <w:szCs w:val="20"/>
                <w:vertAlign w:val="superscript"/>
                <w:lang w:eastAsia="en-GB"/>
              </w:rPr>
              <w:t>th</w:t>
            </w:r>
            <w:r w:rsidRPr="00E74330">
              <w:rPr>
                <w:rFonts w:ascii="Calibri" w:eastAsia="Times New Roman" w:hAnsi="Calibri" w:cs="Calibri"/>
                <w:color w:val="000000"/>
                <w:sz w:val="20"/>
                <w:szCs w:val="20"/>
                <w:lang w:eastAsia="en-GB"/>
              </w:rPr>
              <w:t xml:space="preserve"> Century through to post war and contemporary. There is no doubt the applicant has done this to cut costs to enable bulk buying of materials for all its sites nationally. This does not constitute high quality design. There are no distinct or landmark buildings within the site. Since publication of the new 2020 NPPF there has been a marked reduction in tolerance for poor design (Place Alliance). Since the changes, most decisions by the planning inspectorate have backed the local authority’s original refusal on design grounds. They also found that even if the developer is successful at appeal, costs are unlikely to be awarded if the planning process was correctly followed. A quick search of the applicants many sites around the country will show the same generic homes again and again. No attempt has been made to align the new housing with the local character of Ottershaw as they state in their design and access statement.</w:t>
            </w:r>
            <w:r w:rsidRPr="00E74330">
              <w:rPr>
                <w:rFonts w:ascii="Calibri" w:eastAsia="Times New Roman" w:hAnsi="Calibri" w:cs="Calibri"/>
                <w:color w:val="000000"/>
                <w:sz w:val="20"/>
                <w:szCs w:val="20"/>
                <w:lang w:eastAsia="en-GB"/>
              </w:rPr>
              <w:br/>
            </w:r>
            <w:r w:rsidRPr="00E74330">
              <w:rPr>
                <w:rFonts w:ascii="Calibri" w:eastAsia="Times New Roman" w:hAnsi="Calibri" w:cs="Calibri"/>
                <w:color w:val="000000"/>
                <w:sz w:val="20"/>
                <w:szCs w:val="20"/>
                <w:lang w:eastAsia="en-GB"/>
              </w:rPr>
              <w:br/>
              <w:t>The Runnymede design SPD emphasises throughout that good design should reflect local vernacular and include variety including landmark buildings, points of interest and variations of style. The applicant fails miserably here providing the same content available at all its sites across the country. The application should fail on this point.</w:t>
            </w:r>
          </w:p>
        </w:tc>
      </w:tr>
      <w:tr w:rsidR="00E74330" w:rsidRPr="00E74330" w14:paraId="0B185B71" w14:textId="77777777" w:rsidTr="00E74330">
        <w:trPr>
          <w:trHeight w:val="3640"/>
        </w:trPr>
        <w:tc>
          <w:tcPr>
            <w:tcW w:w="2008" w:type="dxa"/>
            <w:tcBorders>
              <w:top w:val="nil"/>
              <w:left w:val="single" w:sz="4" w:space="0" w:color="auto"/>
              <w:bottom w:val="nil"/>
              <w:right w:val="single" w:sz="4" w:space="0" w:color="auto"/>
            </w:tcBorders>
            <w:shd w:val="clear" w:color="auto" w:fill="auto"/>
            <w:vAlign w:val="center"/>
            <w:hideMark/>
          </w:tcPr>
          <w:p w14:paraId="155FFAF7" w14:textId="77777777" w:rsidR="00E74330" w:rsidRPr="00E74330" w:rsidRDefault="00E74330" w:rsidP="00E74330">
            <w:pPr>
              <w:rPr>
                <w:rFonts w:ascii="Calibri" w:eastAsia="Times New Roman" w:hAnsi="Calibri" w:cs="Calibri"/>
                <w:b/>
                <w:bCs/>
                <w:color w:val="000000"/>
                <w:lang w:eastAsia="en-GB"/>
              </w:rPr>
            </w:pPr>
            <w:r w:rsidRPr="00E74330">
              <w:rPr>
                <w:rFonts w:ascii="Calibri" w:eastAsia="Times New Roman" w:hAnsi="Calibri" w:cs="Calibri"/>
                <w:b/>
                <w:bCs/>
                <w:color w:val="000000"/>
                <w:lang w:eastAsia="en-GB"/>
              </w:rPr>
              <w:t>POLICY STATEMENTS IGNORED</w:t>
            </w:r>
          </w:p>
        </w:tc>
        <w:tc>
          <w:tcPr>
            <w:tcW w:w="8335" w:type="dxa"/>
            <w:tcBorders>
              <w:top w:val="nil"/>
              <w:left w:val="nil"/>
              <w:bottom w:val="nil"/>
              <w:right w:val="single" w:sz="4" w:space="0" w:color="auto"/>
            </w:tcBorders>
            <w:shd w:val="clear" w:color="auto" w:fill="auto"/>
            <w:vAlign w:val="center"/>
            <w:hideMark/>
          </w:tcPr>
          <w:p w14:paraId="1E2BA2FC" w14:textId="797D8762" w:rsidR="00E74330" w:rsidRPr="00E74330" w:rsidRDefault="00E74330" w:rsidP="00E74330">
            <w:pPr>
              <w:rPr>
                <w:rFonts w:ascii="Sabon Next LT" w:eastAsia="Times New Roman" w:hAnsi="Sabon Next LT" w:cs="Sabon Next LT"/>
                <w:b/>
                <w:bCs/>
                <w:i/>
                <w:iCs/>
                <w:color w:val="000000"/>
                <w:lang w:eastAsia="en-GB"/>
              </w:rPr>
            </w:pPr>
            <w:r w:rsidRPr="00E74330">
              <w:rPr>
                <w:rFonts w:ascii="Sabon Next LT" w:eastAsia="Times New Roman" w:hAnsi="Sabon Next LT" w:cs="Sabon Next LT"/>
                <w:b/>
                <w:bCs/>
                <w:i/>
                <w:iCs/>
                <w:lang w:eastAsia="en-GB"/>
              </w:rPr>
              <w:t>"Well-designed new development is integrated into its wider surroundings, physically, socially and visually"</w:t>
            </w:r>
            <w:r w:rsidRPr="00E74330">
              <w:rPr>
                <w:rFonts w:ascii="Calibri" w:eastAsia="Times New Roman" w:hAnsi="Calibri" w:cs="Calibri"/>
                <w:color w:val="000000"/>
                <w:lang w:eastAsia="en-GB"/>
              </w:rPr>
              <w:t xml:space="preserve"> </w:t>
            </w:r>
            <w:r w:rsidRPr="00E74330">
              <w:rPr>
                <w:rFonts w:ascii="Calibri" w:eastAsia="Times New Roman" w:hAnsi="Calibri" w:cs="Calibri"/>
                <w:color w:val="000000"/>
                <w:sz w:val="16"/>
                <w:szCs w:val="16"/>
                <w:lang w:eastAsia="en-GB"/>
              </w:rPr>
              <w:t xml:space="preserve">(Runnymede SPD) </w:t>
            </w:r>
            <w:r w:rsidRPr="00E74330">
              <w:rPr>
                <w:rFonts w:ascii="Sabon Next LT" w:eastAsia="Times New Roman" w:hAnsi="Sabon Next LT" w:cs="Sabon Next LT"/>
                <w:b/>
                <w:bCs/>
                <w:i/>
                <w:iCs/>
                <w:color w:val="000000"/>
                <w:lang w:eastAsia="en-GB"/>
              </w:rPr>
              <w:br/>
              <w:t>“Plots should be configured so that new development relates well to its neighbours.”</w:t>
            </w:r>
            <w:r w:rsidRPr="00E74330">
              <w:rPr>
                <w:rFonts w:ascii="Sabon Next LT" w:eastAsia="Times New Roman" w:hAnsi="Sabon Next LT" w:cs="Sabon Next LT"/>
                <w:b/>
                <w:bCs/>
                <w:i/>
                <w:iCs/>
                <w:color w:val="000000"/>
                <w:lang w:eastAsia="en-GB"/>
              </w:rPr>
              <w:br/>
              <w:t xml:space="preserve">“Development must respond to the plot and building rhythm within the local context” </w:t>
            </w:r>
            <w:r w:rsidRPr="00E74330">
              <w:rPr>
                <w:rFonts w:ascii="Sabon Next LT" w:eastAsia="Times New Roman" w:hAnsi="Sabon Next LT" w:cs="Sabon Next LT"/>
                <w:b/>
                <w:bCs/>
                <w:i/>
                <w:iCs/>
                <w:color w:val="000000"/>
                <w:lang w:eastAsia="en-GB"/>
              </w:rPr>
              <w:br/>
            </w:r>
            <w:r w:rsidRPr="00E74330">
              <w:rPr>
                <w:rFonts w:ascii="Sabon Next LT" w:eastAsia="Times New Roman" w:hAnsi="Sabon Next LT" w:cs="Sabon Next LT"/>
                <w:color w:val="000000"/>
                <w:lang w:eastAsia="en-GB"/>
              </w:rPr>
              <w:t>These policy statements have been ignored for bordering properties</w:t>
            </w:r>
          </w:p>
        </w:tc>
      </w:tr>
      <w:tr w:rsidR="00E74330" w:rsidRPr="00E74330" w14:paraId="67550CE6" w14:textId="77777777" w:rsidTr="00E74330">
        <w:trPr>
          <w:trHeight w:val="8180"/>
        </w:trPr>
        <w:tc>
          <w:tcPr>
            <w:tcW w:w="2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8B2E0" w14:textId="77777777" w:rsidR="00E74330" w:rsidRPr="00E74330" w:rsidRDefault="00E74330" w:rsidP="00E74330">
            <w:pPr>
              <w:rPr>
                <w:rFonts w:ascii="Calibri" w:eastAsia="Times New Roman" w:hAnsi="Calibri" w:cs="Calibri"/>
                <w:b/>
                <w:bCs/>
                <w:color w:val="000000"/>
                <w:lang w:eastAsia="en-GB"/>
              </w:rPr>
            </w:pPr>
            <w:r w:rsidRPr="00E74330">
              <w:rPr>
                <w:rFonts w:ascii="Calibri" w:eastAsia="Times New Roman" w:hAnsi="Calibri" w:cs="Calibri"/>
                <w:b/>
                <w:bCs/>
                <w:color w:val="000000"/>
                <w:lang w:eastAsia="en-GB"/>
              </w:rPr>
              <w:lastRenderedPageBreak/>
              <w:t>SUMMARY</w:t>
            </w:r>
          </w:p>
        </w:tc>
        <w:tc>
          <w:tcPr>
            <w:tcW w:w="8335" w:type="dxa"/>
            <w:tcBorders>
              <w:top w:val="single" w:sz="4" w:space="0" w:color="auto"/>
              <w:left w:val="nil"/>
              <w:bottom w:val="single" w:sz="4" w:space="0" w:color="auto"/>
              <w:right w:val="single" w:sz="4" w:space="0" w:color="auto"/>
            </w:tcBorders>
            <w:shd w:val="clear" w:color="auto" w:fill="auto"/>
            <w:hideMark/>
          </w:tcPr>
          <w:p w14:paraId="71731762" w14:textId="77777777" w:rsidR="00E74330" w:rsidRPr="00E74330" w:rsidRDefault="00E74330" w:rsidP="00E74330">
            <w:pPr>
              <w:rPr>
                <w:rFonts w:ascii="Calibri" w:eastAsia="Times New Roman" w:hAnsi="Calibri" w:cs="Calibri"/>
                <w:color w:val="000000"/>
                <w:lang w:eastAsia="en-GB"/>
              </w:rPr>
            </w:pPr>
            <w:r w:rsidRPr="00E74330">
              <w:rPr>
                <w:rFonts w:ascii="Calibri" w:eastAsia="Times New Roman" w:hAnsi="Calibri" w:cs="Calibri"/>
                <w:color w:val="000000"/>
                <w:lang w:eastAsia="en-GB"/>
              </w:rPr>
              <w:t>• Poor contextual relationships (terraced housing blocks backing onto detached housing). Does not integrate with existing settlement on the NW and SW edge (EE1 and Design SPD). Housing density doubles and quadruples against existing properties</w:t>
            </w:r>
            <w:r w:rsidRPr="00E74330">
              <w:rPr>
                <w:rFonts w:ascii="Calibri" w:eastAsia="Times New Roman" w:hAnsi="Calibri" w:cs="Calibri"/>
                <w:color w:val="000000"/>
                <w:lang w:eastAsia="en-GB"/>
              </w:rPr>
              <w:br/>
              <w:t xml:space="preserve">• Does not align with the village character and more in line with urban townscape. </w:t>
            </w:r>
            <w:r w:rsidRPr="00E74330">
              <w:rPr>
                <w:rFonts w:ascii="Calibri" w:eastAsia="Times New Roman" w:hAnsi="Calibri" w:cs="Calibri"/>
                <w:color w:val="000000"/>
                <w:lang w:eastAsia="en-GB"/>
              </w:rPr>
              <w:br/>
              <w:t>• Multiple examples where parking courts back onto the rear of existing dwellings contrary to policy requiring back-to-back arrangements causing security issues/easy access to the rear of existing properties (Design SPD)</w:t>
            </w:r>
            <w:r w:rsidRPr="00E74330">
              <w:rPr>
                <w:rFonts w:ascii="Calibri" w:eastAsia="Times New Roman" w:hAnsi="Calibri" w:cs="Calibri"/>
                <w:color w:val="000000"/>
                <w:lang w:eastAsia="en-GB"/>
              </w:rPr>
              <w:br/>
              <w:t xml:space="preserve">• </w:t>
            </w:r>
            <w:proofErr w:type="gramStart"/>
            <w:r w:rsidRPr="00E74330">
              <w:rPr>
                <w:rFonts w:ascii="Calibri" w:eastAsia="Times New Roman" w:hAnsi="Calibri" w:cs="Calibri"/>
                <w:color w:val="000000"/>
                <w:lang w:eastAsia="en-GB"/>
              </w:rPr>
              <w:t>Minimum garden</w:t>
            </w:r>
            <w:proofErr w:type="gramEnd"/>
            <w:r w:rsidRPr="00E74330">
              <w:rPr>
                <w:rFonts w:ascii="Calibri" w:eastAsia="Times New Roman" w:hAnsi="Calibri" w:cs="Calibri"/>
                <w:color w:val="000000"/>
                <w:lang w:eastAsia="en-GB"/>
              </w:rPr>
              <w:t xml:space="preserve"> distances therefore tight build tolerances. Risk of gardens being undersized as no margin for error </w:t>
            </w:r>
            <w:r w:rsidRPr="00E74330">
              <w:rPr>
                <w:rFonts w:ascii="Calibri" w:eastAsia="Times New Roman" w:hAnsi="Calibri" w:cs="Calibri"/>
                <w:color w:val="000000"/>
                <w:lang w:eastAsia="en-GB"/>
              </w:rPr>
              <w:br/>
              <w:t>• No soft green edge around the north and south-western borders. Minimal trees within development. 60% of the site will be build, hardstanding or tarmac and up to 70% when garden patios added leading to future overheating contrary to NPPF, SS4 and B&amp;GI policy</w:t>
            </w:r>
            <w:r w:rsidRPr="00E74330">
              <w:rPr>
                <w:rFonts w:ascii="Calibri" w:eastAsia="Times New Roman" w:hAnsi="Calibri" w:cs="Calibri"/>
                <w:color w:val="000000"/>
                <w:lang w:eastAsia="en-GB"/>
              </w:rPr>
              <w:br/>
              <w:t>• No integrated green social space within the centre of the development.  (National Design Guide, Runnymede Design SPD)</w:t>
            </w:r>
            <w:r w:rsidRPr="00E74330">
              <w:rPr>
                <w:rFonts w:ascii="Calibri" w:eastAsia="Times New Roman" w:hAnsi="Calibri" w:cs="Calibri"/>
                <w:color w:val="000000"/>
                <w:lang w:eastAsia="en-GB"/>
              </w:rPr>
              <w:br/>
              <w:t>• Identikit housing estate, character areas poor and indistinctive. No landmarks, no placemaking. Could be anywhere in the country.</w:t>
            </w:r>
            <w:r w:rsidRPr="00E74330">
              <w:rPr>
                <w:rFonts w:ascii="Calibri" w:eastAsia="Times New Roman" w:hAnsi="Calibri" w:cs="Calibri"/>
                <w:color w:val="000000"/>
                <w:lang w:eastAsia="en-GB"/>
              </w:rPr>
              <w:br/>
              <w:t>• Bulky high-volume housing close to existing dwellings leading to intrusion due to bulk and mass, overlooking, overshadowing. Severe loss of amenity to existing resident’s contrary to EE1</w:t>
            </w:r>
            <w:r w:rsidRPr="00E74330">
              <w:rPr>
                <w:rFonts w:ascii="Calibri" w:eastAsia="Times New Roman" w:hAnsi="Calibri" w:cs="Calibri"/>
                <w:color w:val="000000"/>
                <w:lang w:eastAsia="en-GB"/>
              </w:rPr>
              <w:br/>
              <w:t xml:space="preserve">• A common-sense obvious loss of biodiversity despite a remote desktop calculation </w:t>
            </w:r>
            <w:r w:rsidRPr="00E74330">
              <w:rPr>
                <w:rFonts w:ascii="Calibri" w:eastAsia="Times New Roman" w:hAnsi="Calibri" w:cs="Calibri"/>
                <w:color w:val="000000"/>
                <w:lang w:eastAsia="en-GB"/>
              </w:rPr>
              <w:br/>
              <w:t xml:space="preserve">• An overly dense development due to net density of 37dph and inflating the number of bedrooms per dwelling contrary to that set within policy SL12. </w:t>
            </w:r>
            <w:r w:rsidRPr="00E74330">
              <w:rPr>
                <w:rFonts w:ascii="Calibri" w:eastAsia="Times New Roman" w:hAnsi="Calibri" w:cs="Calibri"/>
                <w:color w:val="000000"/>
                <w:lang w:eastAsia="en-GB"/>
              </w:rPr>
              <w:br/>
              <w:t>• Even refuse collection are concerned at how concentrated the proposed housing is</w:t>
            </w:r>
            <w:r w:rsidRPr="00E74330">
              <w:rPr>
                <w:rFonts w:ascii="Calibri" w:eastAsia="Times New Roman" w:hAnsi="Calibri" w:cs="Calibri"/>
                <w:color w:val="000000"/>
                <w:lang w:eastAsia="en-GB"/>
              </w:rPr>
              <w:br/>
              <w:t xml:space="preserve">• Inadequate infrastructure. Problems with foul waste capacity which require major upheaval for the village to rectify. New A320 roundabout will not help improve local traffic flow as no widening of road between roundabout and </w:t>
            </w:r>
            <w:proofErr w:type="spellStart"/>
            <w:r w:rsidRPr="00E74330">
              <w:rPr>
                <w:rFonts w:ascii="Calibri" w:eastAsia="Times New Roman" w:hAnsi="Calibri" w:cs="Calibri"/>
                <w:color w:val="000000"/>
                <w:lang w:eastAsia="en-GB"/>
              </w:rPr>
              <w:t>McClarens</w:t>
            </w:r>
            <w:proofErr w:type="spellEnd"/>
            <w:r w:rsidRPr="00E74330">
              <w:rPr>
                <w:rFonts w:ascii="Calibri" w:eastAsia="Times New Roman" w:hAnsi="Calibri" w:cs="Calibri"/>
                <w:color w:val="000000"/>
                <w:lang w:eastAsia="en-GB"/>
              </w:rPr>
              <w:t xml:space="preserve">. </w:t>
            </w:r>
          </w:p>
        </w:tc>
      </w:tr>
    </w:tbl>
    <w:p w14:paraId="4A722666" w14:textId="77777777" w:rsidR="00AA4956" w:rsidRDefault="00000000" w:rsidP="00E74330">
      <w:pPr>
        <w:ind w:left="-993"/>
      </w:pPr>
    </w:p>
    <w:sectPr w:rsidR="00AA4956" w:rsidSect="00E74330">
      <w:pgSz w:w="11900" w:h="16840"/>
      <w:pgMar w:top="376" w:right="1440" w:bottom="1440" w:left="4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 Next LT">
    <w:panose1 w:val="02000500000000000000"/>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30"/>
    <w:rsid w:val="000A7D1F"/>
    <w:rsid w:val="001852AE"/>
    <w:rsid w:val="00222263"/>
    <w:rsid w:val="00361305"/>
    <w:rsid w:val="00591E92"/>
    <w:rsid w:val="006846AF"/>
    <w:rsid w:val="00B40701"/>
    <w:rsid w:val="00BA49E6"/>
    <w:rsid w:val="00BC2DD9"/>
    <w:rsid w:val="00E74330"/>
    <w:rsid w:val="00F8541A"/>
    <w:rsid w:val="00FF2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B46ECC"/>
  <w14:defaultImageDpi w14:val="32767"/>
  <w15:chartTrackingRefBased/>
  <w15:docId w15:val="{FC25FDA8-13D4-844E-A6AD-4319F03D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1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3214</Words>
  <Characters>18324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Tilley</dc:creator>
  <cp:keywords/>
  <dc:description/>
  <cp:lastModifiedBy>Jane Tilley</cp:lastModifiedBy>
  <cp:revision>1</cp:revision>
  <dcterms:created xsi:type="dcterms:W3CDTF">2022-10-11T08:55:00Z</dcterms:created>
  <dcterms:modified xsi:type="dcterms:W3CDTF">2022-10-11T09:14:00Z</dcterms:modified>
</cp:coreProperties>
</file>